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BestG (Bayern) — Ruhezeiten</w:t>
      </w:r>
    </w:p>
    <w:p>
      <w:r>
        <w:rPr>
          <w:color w:val="555555"/>
          <w:sz w:val="18"/>
        </w:rPr>
        <w:t xml:space="preserve">Bestattungsgesetz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Friedhofsträger bestimmt Ruhezeiten für Leichen und für Aschenreste Verstorbener. Die Ruhezeit für Leichen ist nach Anhörung des Gesundheitsamts unter Berücksichtigung der Verwesungsdauer festzusetzen.</w:t>
      </w:r>
    </w:p>
    <w:p>
      <w:r>
        <w:t xml:space="preserve">(2) Während der Ruhezeit dürfen in einer Grabstätte weitere Leichen oder Aschenreste Verstorbener beigesetzt und Fehlgeburten oder Körper- und Leichenteile aufgenommen werden, wenn die Grabstätte dazu bestimmt und geeignet ist.</w:t>
      </w:r>
    </w:p>
    <w:p>
      <w:r>
        <w:rPr>
          <w:color w:val="555555"/>
          <w:sz w:val="17"/>
        </w:rPr>
        <w:t xml:space="preserve">Zitiervorschlag: Art 10 BestG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