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BestG (Bayern) — Bestattung</w:t>
      </w:r>
    </w:p>
    <w:p>
      <w:r>
        <w:rPr>
          <w:color w:val="555555"/>
          <w:sz w:val="18"/>
        </w:rPr>
        <w:t xml:space="preserve">Bestattungsgesetz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Jede Leiche muß bestattet werden, und zwar durch Beisetzung in einer Grabstätte (Erdbestattung) oder durch Einäscherung in einer Feuerbestattungsanlage und Beisetzung der in einer festen Urne verschlossenen Aschenreste in einer Grabstätte (Feuerbestattung) oder durch Einäscherung in einer Feuerbestattungsanlage und Beisetzung der Urne von einem Schiff auf hoher See (Seebestattung). Leichen und Aschenreste Verstorbener müssen, wenn dieses Gesetz nichts anderes zuläßt, auf Friedhöfen beigesetzt werden.</w:t>
      </w:r>
    </w:p>
    <w:p>
      <w:r>
        <w:t xml:space="preserve">(2) Für Art, Ort und Durchführung der Bestattung ist, soweit öffentliche Belange nicht entgegenstehen, der Wille des Verstorbenen oder, wenn der Verstorbene noch nicht 16 Jahre alt oder wenn er geschäftsunfähig war, der Wille der Personensorgeberechtigten zu berücksichtigen. Ist der Wille des Verstorbenen oder der Personensorgeberechtigten nicht nachweisbar, so kommt es auf den Willen der Angehörigen an, die auf Grund des Art. 15 Abs. 2 Nr. 1 für die Bestattung zu sorgen haben.</w:t>
      </w:r>
    </w:p>
    <w:p>
      <w:r>
        <w:rPr>
          <w:color w:val="555555"/>
          <w:sz w:val="17"/>
        </w:rPr>
        <w:t xml:space="preserve">Zitiervorschlag: Art 1 BestG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