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BestG NRW (Nordrhein-Westfalen) — Bestattungspflicht</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Bestattung verpflichtet sind in der nachstehenden Rangfolge Ehegatten, Lebenspartner, volljährige Kinder, Eltern, volljährige Geschwister, Großeltern und volljährige Enkelkinder (Hinterbliebene). Soweit diese ihrer Verpflichtung nicht oder nicht rechtzeitig nachkommen, hat die örtliche Ordnungsbehörde der Gemeinde, auf deren Gebiet der Tod eingetreten oder die oder der Tote gefunden worden ist, die Bestattung zu veranlassen.</w:t>
      </w:r>
    </w:p>
    <w:p>
      <w:r>
        <w:t xml:space="preserve">(2) Die Inhaber des Gewahrsams haben zu veranlassen, dass Leichenteile, Tot- oder Fehlgeburten sowie die aus Schwangerschaftsabbrüchen stammenden Leibesfrüchte, die nicht nach § 14 Abs. 2 bestattet werden, ohne Gesundheitsgefährdung und ohne Verletzung des sittlichen Empfindens der Bevölkerung verbrannt werden.</w:t>
      </w:r>
    </w:p>
    <w:p>
      <w:r>
        <w:rPr>
          <w:color w:val="555555"/>
          <w:sz w:val="17"/>
        </w:rPr>
        <w:t xml:space="preserve">Zitiervorschlag: § 8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