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BestG NRW (Nordrhein-Westfalen) — Bestattungsbuch</w:t>
      </w:r>
    </w:p>
    <w:p>
      <w:r>
        <w:rPr>
          <w:color w:val="555555"/>
          <w:sz w:val="18"/>
        </w:rPr>
        <w:t xml:space="preserve">Bestattungsgesetz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die Bestattungen außerhalb eines Friedhofs nach § 14 Abs. 1 Satz 2 zugelassen haben, und die Träger von Friedhöfen und Feuerbestattungsanlagen sowie übernehmende Stelle sind verpflichtet, ein Bestattungsbuch zu führen. Es muss den Familien- und Vornamen, das Geburtsdatum und den Todestag der zu Bestattenden enthalten. Die Gemeinden nach Satz 1, die Träger und übernehmenden Stellen müssen auch den Tag der Bestattung einschließlich der genauen Bezeichnung der Grabstelle eintragen. Die Träger oder übernehmenden Stellen der Feuerbestattungsanlagen vermerken den Tag der Einäscherung, das Datum der Urnenaushändigung mit Namen und Adresse der Person, die die Urne übernommen hat, sowie die Angaben zum Verbleib der Totenasche.</w:t>
      </w:r>
    </w:p>
    <w:p>
      <w:r>
        <w:t xml:space="preserve">(2) Das Bestattungsbuch ist dreißig Kalenderjahre nach der letzten Eintragung und die zugehörigen Unterlagen sind zehn Kalenderjahre nach ihrem Ausstellungsdatum aufzubewahren.</w:t>
      </w:r>
    </w:p>
    <w:p>
      <w:r>
        <w:rPr>
          <w:color w:val="555555"/>
          <w:sz w:val="17"/>
        </w:rPr>
        <w:t xml:space="preserve">Zitiervorschlag: § 5 BestG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https://recht.nulegal.eu/gesetze/BestG%20NRW/5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