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BestG NRW (Nordrhein-Westfalen) — Errichtung und Erweiterung eines Friedhofs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Errichtung und die Erweiterung der Friedhöfe der kreisangehörigen Gemeinden und der Religionsgemeinschaften im Sinne des § 1 Abs. 2 bedürfen der Genehmigung. Genehmigungsbehörde ist für Friedhöfe der Gemeinden der Kreis (Kreisordnungsbehörde) und für Friedhöfe der Religionsgemeinschaften die Bezirksregierung. Am Genehmigungsverfahren ist die untere Gesundheitsbehörde zu beteiligen.</w:t>
      </w:r>
    </w:p>
    <w:p>
      <w:r>
        <w:t xml:space="preserve">(2) Bei Friedhöfen der Religionsgemeinschaften hat die Genehmigungsbehörde das Benehmen mit der Gemeinde herzustellen.</w:t>
      </w:r>
    </w:p>
    <w:p>
      <w:r>
        <w:t xml:space="preserve">(3) Die Genehmigung ist zu erteilen, wenn der Friedhof den Erfordernissen des Wasserhaushaltsrechts und des Gesundheitsschutzes entspricht und ihr sonstige Vorschriften des öffentlichen Rechts nicht entgegenstehen.</w:t>
      </w:r>
    </w:p>
    <w:p>
      <w:r>
        <w:rPr>
          <w:color w:val="555555"/>
          <w:sz w:val="17"/>
        </w:rPr>
        <w:t xml:space="preserve">Zitiervorschlag: § 2 BestG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