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BestAusbV — Durchführung der Berufsausbildung</w:t>
      </w:r>
    </w:p>
    <w:p>
      <w:r>
        <w:rPr>
          <w:color w:val="555555"/>
          <w:sz w:val="18"/>
        </w:rPr>
        <w:t xml:space="preserve">Verordnung über die Berufsausbildung zur Bestattungsfachkraft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Folgende Fertigkeiten, Kenntnisse und Fähigkeiten aus dem Ausbildungsrahmenplan sind in geeigneten Einrichtungen außerhalb der Ausbildungsstätte zu vermitteln:</w:t>
      </w:r>
    </w:p>
    <w:p>
      <w:pPr>
        <w:ind w:left="420"/>
      </w:pPr>
      <w:r>
        <w:t xml:space="preserve">1. im 1. bis 18. Monat der Berufsausbildung aus der Anlage Abschnitt A Nummer 1 Buchstabe a bis c und Nummer 5,</w:t>
      </w:r>
    </w:p>
    <w:p>
      <w:pPr>
        <w:ind w:left="420"/>
      </w:pPr>
      <w:r>
        <w:t xml:space="preserve">2. im 19. bis 36. Monat der Berufsausbildung aus der Anlage Abschnitt A Nummer 1 Buchstabe d bis h und Nummer 6.</w:t>
      </w:r>
    </w:p>
    <w:p>
      <w:r>
        <w:t xml:space="preserve">Der zeitliche Umfang beträgt im 1. bis 18. Monat der Berufsausbildung zwei und im 19. bis 36. Monat der Berufsausbildung drei Wochen. Die Sätze 1 und 2 gelten nur, wenn und soweit die Ausbildungsstätte diese Fertigkeiten, Kenntnisse und Fähigkeiten nicht in der erforderlichen Breite oder Tiefe vermitteln kann.</w:t>
      </w:r>
    </w:p>
    <w:p>
      <w:r>
        <w:t xml:space="preserve">(3) Die Ausbildenden haben unter Zugrundelegung des Ausbildungsrahmenplanes für die Auszubildenden einen Ausbildungsplan zu erstellen.</w:t>
      </w:r>
    </w:p>
    <w:p>
      <w:r>
        <w:t xml:space="preserve">(4)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BestAusbV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