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BestAusbV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Bestattungsfachkraft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Bestattungsfachkraft wird</w:t>
      </w:r>
    </w:p>
    <w:p>
      <w:pPr>
        <w:ind w:left="420"/>
      </w:pPr>
      <w:r>
        <w:t xml:space="preserve">1. nach § 4 Abs. 1 des Berufsbildungsgesetzes und</w:t>
      </w:r>
    </w:p>
    <w:p>
      <w:pPr>
        <w:ind w:left="420"/>
      </w:pPr>
      <w:r>
        <w:t xml:space="preserve">2. nach § 25 der Handwerksordnung zur Ausbildung für das Gewerbe Nummer 50, Bestattungsgewerbe, der Anlage B Abschnitt 2 der Handwerksordnung</w:t>
      </w:r>
    </w:p>
    <w:p>
      <w:r>
        <w:t xml:space="preserve">staatlich anerkannt. Soweit die Ausbildung im Bereich des öffentlichen Dienstes stattfindet, ist er ein Ausbildungsberuf des öffentlichen Dienstes. Im Übrigen ist er ein Ausbildungsberuf der gewerblichen Wirtschaft.</w:t>
      </w:r>
    </w:p>
    <w:p>
      <w:r>
        <w:rPr>
          <w:color w:val="555555"/>
          <w:sz w:val="17"/>
        </w:rPr>
        <w:t xml:space="preserve">Zitiervorschlag: § 1 BestAusbV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