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BeschussV — Überlassung von Prüfhilfsmitteln</w:t>
      </w:r>
    </w:p>
    <w:p>
      <w:r>
        <w:rPr>
          <w:color w:val="555555"/>
          <w:sz w:val="18"/>
        </w:rPr>
        <w:t xml:space="preserve">Beschussverordnung</w:t>
      </w:r>
    </w:p>
    <w:p>
      <w:r>
        <w:rPr>
          <w:color w:val="555555"/>
          <w:sz w:val="18"/>
        </w:rPr>
        <w:t xml:space="preserve">Stand: 10.06.2019 (konsolidierte Textfassung, kein amtliches Inkrafttretensdatum)</w:t>
      </w:r>
    </w:p>
    <w:p>
      <w:r>
        <w:t xml:space="preserve">(1) Wird in Feuerwaffen und sonstigen Prüfgegenständen Munition oder eine Ladung verwendet, die von der zuständigen Behörde nicht beschafft werden kann, so kann diese vom Antragsteller die Überlassung von Gebrauchsmunition, bei Böllern von Kartuschen, Hülsen und Zündmitteln verlangen.</w:t>
      </w:r>
    </w:p>
    <w:p>
      <w:r>
        <w:t xml:space="preserve">(2) Zur Prüfung der Austauschläufe kann die zuständige Behörde vom Antragsteller die Überlassung der zugehörigen Waffe oder eines geeigneten Verschlusses verlangen. Einsteckläufe sind in der zugehörigen Waffe zu beschießen; wenn diese nicht vorgelegt werden kann, ist eine Bescheinigung nach § 12 Abs. 1 Satz 2 des Gesetzes auszustellen mit der Auflage, dass der Beschuss vor dem bestimmungsgemäßen Gebrauch des Einstecklaufes vorzunehmen ist. Die Bescheinigung kann mehrere gleichartige Prüfgegenstände umfassen. Satz 2 gilt auch für Einsteckläufe nach § 2 Abs. 2 Satz 2 Nr. 1 Buchstabe c des Gesetzes.</w:t>
      </w:r>
    </w:p>
    <w:p>
      <w:r>
        <w:t xml:space="preserve">(3) Liegt ein Antrag nach § 6 vor, so kann die zuständige Behörde vom Antragsteller die Überlassung der für die Prüfung erforderlichen Hilfsmittel verlangen.</w:t>
      </w:r>
    </w:p>
    <w:p>
      <w:r>
        <w:t xml:space="preserve">(4) Für die Prüfung eines Gasböllers ist vom Antragsteller der zuständigen Behörde eine Bescheinigung der Physikalisch-Technischen Bundesanstalt darüber vorzulegen, dass das Gerät den technischen Anforderungen nach Anlage I Nr. 2.3.2 bis 2.3.5 entspricht.</w:t>
      </w:r>
    </w:p>
    <w:p>
      <w:r>
        <w:rPr>
          <w:color w:val="555555"/>
          <w:sz w:val="17"/>
        </w:rPr>
        <w:t xml:space="preserve">Zitiervorschlag: § 8 BeschussV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https://recht.nulegal.eu/gesetze/BeschussV/8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