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BeschussV — Instandsetzungsbeschuss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erneute amtliche Prüfung nach § 5 Abs. 1 des Gesetzes ist vorzunehmen, wenn</w:t>
      </w:r>
    </w:p>
    <w:p>
      <w:pPr>
        <w:ind w:left="420"/>
      </w:pPr>
      <w:r>
        <w:t xml:space="preserve">1. ein höchstbeanspruchtes Teil nach § 2 Abs. 2 Nr. 1 bis 3 des Gesetzes ausgetauscht und dabei eine Nacharbeit vorgenommen worden ist oder</w:t>
      </w:r>
    </w:p>
    <w:p>
      <w:pPr>
        <w:ind w:left="420"/>
      </w:pPr>
      <w:r>
        <w:t xml:space="preserve">2. an einem höchstbeanspruchten Teil eines Prüfgegenstandes</w:t>
      </w:r>
    </w:p>
    <w:p>
      <w:pPr>
        <w:ind w:left="780"/>
      </w:pPr>
      <w:r>
        <w:t xml:space="preserve">a) die Maße nach Anlage I Nr. 1.1.3 verändert oder</w:t>
      </w:r>
    </w:p>
    <w:p>
      <w:pPr>
        <w:ind w:left="780"/>
      </w:pPr>
      <w:r>
        <w:t xml:space="preserve">b) materialschwächende oder -verändernde Arbeiten vorgenommen worden sind.</w:t>
      </w:r>
    </w:p>
    <w:p>
      <w:r>
        <w:t xml:space="preserve">Satz 1 gilt nicht für Feuerwaffen, deren höchstbeanspruchte Teile ohne Nacharbeit lediglich ausgetauscht worden sind, sofern alle höchstbeanspruchten Teile mit dem für diese Waffen vorgeschriebenen Beschussgasdruck beschossen worden sind.</w:t>
      </w:r>
    </w:p>
    <w:p>
      <w:r>
        <w:t xml:space="preserve">(2) Ergibt sich anlässlich der Prüfung nach Absatz 1 einer der in Anlage I Nr. 1.1 oder 1.3 angeführten Mängel, ist § 4 entsprechend anzuwenden.</w:t>
      </w:r>
    </w:p>
    <w:p>
      <w:r>
        <w:rPr>
          <w:color w:val="555555"/>
          <w:sz w:val="17"/>
        </w:rPr>
        <w:t xml:space="preserve">Zitiervorschlag: § 5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