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BeschussV — Inkrafttreten, Außerkrafttreten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43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