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 BeschussV — Lagerung von Munition</w:t>
      </w:r>
    </w:p>
    <w:p>
      <w:r>
        <w:rPr>
          <w:color w:val="555555"/>
          <w:sz w:val="18"/>
        </w:rPr>
        <w:t xml:space="preserve">Beschussverordnung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 gewerbsmäßig Munition oder Geschosse mit Reizstoffen vertreibt oder anderen überlässt, darf sie nur in der verschlossenen Originalverpackung des Herstellers verwahren. Geöffnete kleinste Verpackungseinheiten sind unverzüglich wieder zu verschließen.</w:t>
      </w:r>
    </w:p>
    <w:p>
      <w:r>
        <w:t xml:space="preserve">(2) Pyrotechnische Munition mit einer Satzmasse, bestehend aus Treibladung und pyrotechnischem Satz, von mehr als 20 Gramm, darf in der kleinsten Verpackungseinheit im Verkaufsraum nur in einem Muster verwahrt werden.</w:t>
      </w:r>
    </w:p>
    <w:p>
      <w:r>
        <w:rPr>
          <w:color w:val="555555"/>
          <w:sz w:val="17"/>
        </w:rPr>
        <w:t xml:space="preserve">Zitiervorschlag: § 40 BeschussV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https://recht.nulegal.eu/gesetze/BeschussV/40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