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38 BeschussV — Verpackung von Munition</w:t>
      </w:r>
    </w:p>
    <w:p>
      <w:r>
        <w:rPr>
          <w:color w:val="555555"/>
          <w:sz w:val="18"/>
        </w:rPr>
        <w:t xml:space="preserve">Beschussverordnung</w:t>
      </w:r>
    </w:p>
    <w:p>
      <w:r>
        <w:rPr>
          <w:color w:val="555555"/>
          <w:sz w:val="18"/>
        </w:rPr>
        <w:t xml:space="preserve">Stand: 10.06.2019 (konsolidierte Textfassung, kein amtliches Inkrafttretensdatum)</w:t>
      </w:r>
    </w:p>
    <w:p>
      <w:r>
        <w:t xml:space="preserve">(1) Wer Munition gewerbsmäßig herstellt oder einführt, hat die Gegenstände in der Verpackung so anzuordnen und zu verteilen, dass weder durch Reibung noch durch Erschütterung, Stoß oder Flammenzündung eine Explosion des gesamten Inhalts der Verpackung herbeigeführt werden kann.</w:t>
      </w:r>
    </w:p>
    <w:p>
      <w:r>
        <w:t xml:space="preserve">(2) Kartuschenmunition für Schussapparate, bei denen die festen Körper den Schussapparat verlassen, muss so verpackt sein, dass die Munition in der kleinsten Verpackungseinheit vor Feuchtigkeit geschützt wird. Dies gilt nicht für Munition, deren Hülse so verschlossen ist, dass auch in unverpacktem Zustand keine Feuchtigkeit eindringen kann. Die in § 17 Abs. 5 bezeichneten Geschosse müssen in Behältern verpackt sein.</w:t>
      </w:r>
    </w:p>
    <w:p>
      <w:r>
        <w:t xml:space="preserve">(3) Treibladungen nach Anlage 1 Abschnitt 1 Unterabschnitt 3 Nr. 2 des Waffengesetzes für Schussapparate sind in magazinierter Form zu verpacken.</w:t>
      </w:r>
    </w:p>
    <w:p>
      <w:r>
        <w:rPr>
          <w:color w:val="555555"/>
          <w:sz w:val="17"/>
        </w:rPr>
        <w:t xml:space="preserve">Zitiervorschlag: § 38 BeschussV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https://recht.nulegal.eu/gesetze/BeschussV/38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