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BeschussV — Ausnahmen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Zulassung nach § 11 Abs. 1 des Gesetzes sowie der Fabrikationskontrolle und der periodischen behördlichen Kontrolle unterliegen nicht</w:t>
      </w:r>
    </w:p>
    <w:p>
      <w:pPr>
        <w:ind w:left="420"/>
      </w:pPr>
      <w:r>
        <w:t xml:space="preserve">1. Treibladungen nach § 11 Abs. 1 des Gesetzes,</w:t>
      </w:r>
    </w:p>
    <w:p>
      <w:pPr>
        <w:ind w:left="420"/>
      </w:pPr>
      <w:r>
        <w:t xml:space="preserve">2. nicht gewerbsmäßig wiedergeladene Munition,</w:t>
      </w:r>
    </w:p>
    <w:p>
      <w:pPr>
        <w:ind w:left="420"/>
      </w:pPr>
      <w:r>
        <w:t xml:space="preserve">3. Beschussmunition, die von der zuständigen Behörde geladen und verwendet wird oder durch einen Hersteller der zuständigen Behörde überlassen wird,</w:t>
      </w:r>
    </w:p>
    <w:p>
      <w:pPr>
        <w:ind w:left="420"/>
      </w:pPr>
      <w:r>
        <w:t xml:space="preserve">4. Munition, die nicht mehr serienmäßig hergestellt wird und ausschließlich in kleinen Mengen zum Sammeln bestimmt ist.</w:t>
      </w:r>
    </w:p>
    <w:p>
      <w:r>
        <w:t xml:space="preserve">Beschussmunition ist jedoch der Fabrikationskontrolle zu unterziehen. Munition nach Satz 1 kann auf Antrag einer losbezogenen Zulassungsprüfung unterzogen werden und darf das Prüfzeichen nach Anlage II Abbildung 4 nur nach bestandener Zulassungsprüfung tragen.</w:t>
      </w:r>
    </w:p>
    <w:p>
      <w:r>
        <w:t xml:space="preserve">(2) Patronen- und Kartuschenmunition nach Absatz 1 Satz 1 Nr. 3 und 4 muss den Anforderungen nach § 29 entsprechen.</w:t>
      </w:r>
    </w:p>
    <w:p>
      <w:r>
        <w:rPr>
          <w:color w:val="555555"/>
          <w:sz w:val="17"/>
        </w:rPr>
        <w:t xml:space="preserve">Zitiervorschlag: § 37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