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BeschussV — Bekanntmachung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nach § 11 des Gesetzes, ihre Änderung, Rücknahme und ihr Widerruf werden im Amts- und Mitteilungsblatt der Physikalisch-Technischen Bundesanstalt bekannt gemacht. Die Bekanntmachung soll die in § 32 Abs. 2 Nr. 1 bis 3 bezeichneten Angaben enthalten.</w:t>
      </w:r>
    </w:p>
    <w:p>
      <w:r>
        <w:t xml:space="preserve">(2) Die Physikalisch-Technische Bundesanstalt hat dem Ständigen Büro der Ständigen Internationalen Kommission für die Prüfung der Handfeuerwaffen Mitteilung zu machen über</w:t>
      </w:r>
    </w:p>
    <w:p>
      <w:pPr>
        <w:ind w:left="420"/>
      </w:pPr>
      <w:r>
        <w:t xml:space="preserve">1. andere zugelassene Bezeichnungen nach § 27 Abs. 1,</w:t>
      </w:r>
    </w:p>
    <w:p>
      <w:pPr>
        <w:ind w:left="420"/>
      </w:pPr>
      <w:r>
        <w:t xml:space="preserve">2. die Erteilung, die Rücknahme oder den Widerruf einer Zulassung,</w:t>
      </w:r>
    </w:p>
    <w:p>
      <w:pPr>
        <w:ind w:left="420"/>
      </w:pPr>
      <w:r>
        <w:t xml:space="preserve">3. Anordnungen nach § 35 Abs. 2.</w:t>
      </w:r>
    </w:p>
    <w:p>
      <w:r>
        <w:rPr>
          <w:color w:val="555555"/>
          <w:sz w:val="17"/>
        </w:rPr>
        <w:t xml:space="preserve">Zitiervorschlag: § 36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