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BeschussV — Überprüfung im Einzelfall</w:t>
      </w:r>
    </w:p>
    <w:p>
      <w:r>
        <w:rPr>
          <w:color w:val="555555"/>
          <w:sz w:val="18"/>
        </w:rPr>
        <w:t xml:space="preserve">Beschussverordnung</w:t>
      </w:r>
    </w:p>
    <w:p>
      <w:r>
        <w:rPr>
          <w:color w:val="555555"/>
          <w:sz w:val="18"/>
        </w:rPr>
        <w:t xml:space="preserve">Stand: 10.06.2019 (konsolidierte Textfassung, kein amtliches Inkrafttretensdatum)</w:t>
      </w:r>
    </w:p>
    <w:p>
      <w:r>
        <w:t xml:space="preserve">(1) Rechtfertigen Tatsachen die Annahme, dass Munition, deren Typ von der zuständigen Behörde zugelassen ist, oder gewerbsmäßig wiedergeladene Munition den Vorschriften der Maßtafeln oder der Anlage III oder der Zulassung nicht entspricht, nimmt diese eine Kontrolle vor. Können dabei festgestellte Fehler nicht unmittelbar behoben werden, kann die zuständige Behörde den weiteren Vertrieb der beanstandeten Munition untersagen.</w:t>
      </w:r>
    </w:p>
    <w:p>
      <w:r>
        <w:t xml:space="preserve">(2) Werden der zuständigen Behörde Mängel nach Absatz 1 bei Munition bekannt, deren Typ von der Behörde eines Staates zugelassen ist, mit dem die gegenseitige Anerkennung der Prüfzeichen vereinbart ist, unterrichtet sie diese Behörde. Die zuständige Behörde kann den weiteren Vertrieb untersagen, wenn die Munition Gefahren für Leben und Gesundheit des Benutzers oder Dritter hervorruft. Sie trifft die erforderlichen Sicherheitsmaßnahmen.</w:t>
      </w:r>
    </w:p>
    <w:p>
      <w:r>
        <w:rPr>
          <w:color w:val="555555"/>
          <w:sz w:val="17"/>
        </w:rPr>
        <w:t xml:space="preserve">Zitiervorschlag: § 35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