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BeschussV — Behördliche Kontrollen</w:t>
      </w:r>
    </w:p>
    <w:p>
      <w:r>
        <w:rPr>
          <w:color w:val="555555"/>
          <w:sz w:val="18"/>
        </w:rPr>
        <w:t xml:space="preserve">Beschussverordnung</w:t>
      </w:r>
    </w:p>
    <w:p>
      <w:r>
        <w:rPr>
          <w:color w:val="555555"/>
          <w:sz w:val="18"/>
        </w:rPr>
        <w:t xml:space="preserve">Stand: 10.06.2019 (konsolidierte Textfassung, kein amtliches Inkrafttretensdatum)</w:t>
      </w:r>
    </w:p>
    <w:p>
      <w:r>
        <w:t xml:space="preserve">(1) Der Zulassungsinhaber hat mindestens alle drei Jahre die Durchführung einer behördlichen Kontrolle bei der Zulassungsbehörde zu beantragen. Verbringer aus Staaten, mit denen eine gegenseitige Anerkennung der Prüfzeichen nicht vereinbart ist, haben die Durchführung dieser Kontrollen mindestens einmal jährlich zu beantragen, wenn sie nicht für jedes Los eine Fabrikationskontrolle durchführen oder durchführen lassen. Die Frist nach den Sätzen 1 und 2 beginnt mit dem auf die Zulassung folgenden Kalenderjahr.</w:t>
      </w:r>
    </w:p>
    <w:p>
      <w:r>
        <w:t xml:space="preserve">(2) Wird Munition aus Staaten verbracht, mit denen eine gegenseitige Anerkennung der Prüfzeichen nicht vereinbart ist, hat der Verbringer eine Bescheinigung des Herstellers vorzulegen, aus der hervorgeht, dass dieser Fabrikationskontrollen durchführt, die den in der Anlage III vorgeschriebenen gleichwertig sind. Diese Bescheinigung muss jedes Jahr erneuert werden. Der Verbringer hat ferner auf Verlangen der Behörde das Protokoll über das Los, das Gegenstand der behördlichen Kontrolle ist, vorzulegen. Die Sätze 1 bis 3 gelten nicht, wenn vom Hersteller für jedes Los eine Fabrikationskontrolle durchgeführt und diese durch eine Zulassungsbehörde überwacht wird.</w:t>
      </w:r>
    </w:p>
    <w:p>
      <w:r>
        <w:t xml:space="preserve">(3) Bei der behördlichen Kontrolle sind die in Anlage III festgelegten Prüfungen vorzunehmen.</w:t>
      </w:r>
    </w:p>
    <w:p>
      <w:r>
        <w:t xml:space="preserve">(4) Wird bei der behördlichen Kontrolle festgestellt, dass die Munition oder die Messgeräte den Vorschriften der Maßtafeln oder der Anlage III oder der Zulassung nicht entsprechen, setzt die zuständige Behörde eine angemessene Frist zur Beseitigung der Mängel.</w:t>
      </w:r>
    </w:p>
    <w:p>
      <w:r>
        <w:rPr>
          <w:color w:val="555555"/>
          <w:sz w:val="17"/>
        </w:rPr>
        <w:t xml:space="preserve">Zitiervorschlag: § 34 BeschussV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https://recht.nulegal.eu/gesetze/BeschussV/34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