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BeschussV — Fabrikationskontrolle</w:t>
      </w:r>
    </w:p>
    <w:p>
      <w:r>
        <w:rPr>
          <w:color w:val="555555"/>
          <w:sz w:val="18"/>
        </w:rPr>
        <w:t xml:space="preserve">Beschussverordnung</w:t>
      </w:r>
    </w:p>
    <w:p>
      <w:r>
        <w:rPr>
          <w:color w:val="555555"/>
          <w:sz w:val="18"/>
        </w:rPr>
        <w:t xml:space="preserve">Stand: 10.06.2019 (konsolidierte Textfassung, kein amtliches Inkrafttretensdatum)</w:t>
      </w:r>
    </w:p>
    <w:p>
      <w:r>
        <w:t xml:space="preserve">(1) Der Zulassungsinhaber ist verpflichtet, alle Munitionslose Fabrikationskontrollen nach Anlage III zu unterziehen, bevor sie in Verkehr gebracht werden. Er kann diese Kontrollen einer zuständigen Behörde oder einem Fachinstitut übertragen, dessen Messeinrichtungen in angemessenen Abständen nach Anlage III Nr. 1.1 von der zuständigen Behörde überprüft werden. § 32 Abs. 1 gilt entsprechend.</w:t>
      </w:r>
    </w:p>
    <w:p>
      <w:r>
        <w:t xml:space="preserve">(2) Der Zulassungsinhaber hat über die durchgeführten Fabrikationskontrollen Aufzeichnungen nach Satz 2 und Absatz 3 zu machen. Die Aufzeichnungen sind in gebundener Form, in Karteiform oder mit Hilfe der automatischen Datenverarbeitung (ADV) im Betrieb oder in dem Betriebsteil, in dem die Munition hergestellt oder vertrieben wird, zu führen.</w:t>
      </w:r>
    </w:p>
    <w:p>
      <w:r>
        <w:t xml:space="preserve">(3) Aus den Aufzeichnungen müssen folgende Angaben hervorgehen:</w:t>
      </w:r>
    </w:p>
    <w:p>
      <w:pPr>
        <w:ind w:left="420"/>
      </w:pPr>
      <w:r>
        <w:t xml:space="preserve">1. Munitionstyp, Losgröße und Fertigungszeichen des Loses,</w:t>
      </w:r>
    </w:p>
    <w:p>
      <w:pPr>
        <w:ind w:left="420"/>
      </w:pPr>
      <w:r>
        <w:t xml:space="preserve">2. Art des Pulvers, Art und Masse der Geschosse, Zündungstyp,</w:t>
      </w:r>
    </w:p>
    <w:p>
      <w:pPr>
        <w:ind w:left="420"/>
      </w:pPr>
      <w:r>
        <w:t xml:space="preserve">3. die ermittelten Gasdrücke,</w:t>
      </w:r>
    </w:p>
    <w:p>
      <w:pPr>
        <w:ind w:left="420"/>
      </w:pPr>
      <w:r>
        <w:t xml:space="preserve">4. Art und Zahl der festgestellten Mängel</w:t>
      </w:r>
    </w:p>
    <w:p>
      <w:pPr>
        <w:ind w:left="780"/>
      </w:pPr>
      <w:r>
        <w:t xml:space="preserve">a) bei der Maß- und Sichtprüfung,</w:t>
      </w:r>
    </w:p>
    <w:p>
      <w:pPr>
        <w:ind w:left="780"/>
      </w:pPr>
      <w:r>
        <w:t xml:space="preserve">b) bei der Funktionsprüfung.</w:t>
      </w:r>
    </w:p>
    <w:p>
      <w:r>
        <w:t xml:space="preserve">(4) Bei Munition, von der der Zulassungsinhaber höchstens 3.000 Stück im Jahr herstellt, sind von ihm binnen zwei Wochen nach Fertigung Aufzeichnungen nach Absatz 3 Nr. 1 und 2 zu machen. Die Zulassungsbehörde kann weitere Kontrollen im Sinne von Absatz 1 und Absatz 3 Nr. 3 und 4 sowie von § 34 festlegen. Begrenzungen der Stückzahl oder zeitliche Befristungen sind zulässig.</w:t>
      </w:r>
    </w:p>
    <w:p>
      <w:r>
        <w:t xml:space="preserve">(5) Der Zulassungsinhaber hat der zuständigen Behörde die Aufzeichnungen nach Absatz 2 oder Absatz 4 auf Verlangen vorzulegen.</w:t>
      </w:r>
    </w:p>
    <w:p>
      <w:r>
        <w:t xml:space="preserve">(6) Die Aufzeichnungen sind bis zur übernächsten behördlichen Kontrolle, mindestens jedoch fünf Jahre aufzubewahren.</w:t>
      </w:r>
    </w:p>
    <w:p>
      <w:r>
        <w:rPr>
          <w:color w:val="555555"/>
          <w:sz w:val="17"/>
        </w:rPr>
        <w:t xml:space="preserve">Zitiervorschlag: § 33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