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BeschussV — Prüfmethoden</w:t>
      </w:r>
    </w:p>
    <w:p>
      <w:r>
        <w:rPr>
          <w:color w:val="555555"/>
          <w:sz w:val="18"/>
        </w:rPr>
        <w:t xml:space="preserve">Beschussverordnung</w:t>
      </w:r>
    </w:p>
    <w:p>
      <w:r>
        <w:rPr>
          <w:color w:val="555555"/>
          <w:sz w:val="18"/>
        </w:rPr>
        <w:t xml:space="preserve">Stand: 10.06.2019 (konsolidierte Textfassung, kein amtliches Inkrafttretensdatum)</w:t>
      </w:r>
    </w:p>
    <w:p>
      <w:r>
        <w:t xml:space="preserve">(1) Prüfungen nach § 29 Nr. 4, 5 und 6 und die der statistischen Grenzwerte werden nach den anerkannten Methoden der Messtechnik vorgenommen, wie sie in den Vorschriften der Anlage III und in weiteren Einzelheiten in den jeweils gültigen und einschlägigen Prüf- und Messrichtlinien der Physikalisch-Technischen Bundesanstalt niedergelegt sind.</w:t>
      </w:r>
    </w:p>
    <w:p>
      <w:r>
        <w:t xml:space="preserve">(2) Die Messung des Gasdruckes wird mittels mechanisch-elektrischen Wandlers vorgenommen. Sofern in den Maßtafeln für das betreffende Kaliber ein zulässiger Höchstwert des Gebrauchsgasdruckes nur für die Messung mittels Kupferstauchkörperverfahren veröffentlicht ist, soll nach diesem Verfahren gemessen werden. Die Verwendung anderer Messverfahren ist zulässig, sofern sie sich zur Messung schnell veränderlicher Drücke eignen und Vergleiche mit den in Satz 1 genannten Verfahren vorliegen, die eine Umrechnung gestatten.</w:t>
      </w:r>
    </w:p>
    <w:p>
      <w:r>
        <w:t xml:space="preserve">(3) Die Funktionssicherheit der Munition ist nach den Vorschriften der Anlage III zu prüfen.</w:t>
      </w:r>
    </w:p>
    <w:p>
      <w:r>
        <w:t xml:space="preserve">(4) Wird die Zulassung eines Munitionstyps beantragt, der noch nicht in den Maßtafeln aufgeführt ist, sind der Prüfung die Angaben des Antragstellers über den Gasdruck und die Maße der Patrone, des Lagers und gegebenenfalls des Laufes zugrunde zu legen. Die zuständige Behörde hat in diesem Fall der Physikalisch-Technischen Bundesanstalt zur Weiterleitung an das Ständige Büro der Ständigen Internationalen Kommission für die Prüfung der Handfeuerwaffen gleichzeitig mit der Typenzulassung (§ 36) den für die Munition zulässigen Höchstwert des Gasdruckes, den gemessenen mittleren höchsten Gasdruck und die zugelassenen Maße zu übermitteln.</w:t>
      </w:r>
    </w:p>
    <w:p>
      <w:r>
        <w:rPr>
          <w:color w:val="555555"/>
          <w:sz w:val="17"/>
        </w:rPr>
        <w:t xml:space="preserve">Zitiervorschlag: § 31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