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BeschussV — Antragsverfahren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hat Angaben zu enthalten über</w:t>
      </w:r>
    </w:p>
    <w:p>
      <w:pPr>
        <w:ind w:left="420"/>
      </w:pPr>
      <w:r>
        <w:t xml:space="preserve">1. Name, Firma oder Marke und Anschrift des Herstellers oder desjenigen, dessen Name, Firma oder Marke auf der Munition angebracht ist und der die Verantwortung für die Munition übernimmt; im Falle der Verbringung aus Staaten, mit denen die gegenseitige Anerkennung der Prüfzeichen nicht vereinbart ist, sind Name, Firma oder Marke und Anschrift des Verbringers anzugeben,</w:t>
      </w:r>
    </w:p>
    <w:p>
      <w:pPr>
        <w:ind w:left="420"/>
      </w:pPr>
      <w:r>
        <w:t xml:space="preserve">2. Typenbezeichnung der Munition,</w:t>
      </w:r>
    </w:p>
    <w:p>
      <w:pPr>
        <w:ind w:left="420"/>
      </w:pPr>
      <w:r>
        <w:t xml:space="preserve">3. Herstellungsstätte, es sei denn, der Antragsteller ist ein Verbringer nach Nummer 1,</w:t>
      </w:r>
    </w:p>
    <w:p>
      <w:pPr>
        <w:ind w:left="420"/>
      </w:pPr>
      <w:r>
        <w:t xml:space="preserve">4. Prüfstätte für die Fabrikationskontrollen, es sei denn, diese werden der zuständigen Behörde übertragen, und</w:t>
      </w:r>
    </w:p>
    <w:p>
      <w:pPr>
        <w:ind w:left="420"/>
      </w:pPr>
      <w:r>
        <w:t xml:space="preserve">5. Losgröße und Losnummer.</w:t>
      </w:r>
    </w:p>
    <w:p>
      <w:r>
        <w:t xml:space="preserve">(2) Dem Antrag sind beizufügen:</w:t>
      </w:r>
    </w:p>
    <w:p>
      <w:pPr>
        <w:ind w:left="420"/>
      </w:pPr>
      <w:r>
        <w:t xml:space="preserve">1. Zeichnungen mit Maßangaben für Patrone, Patronenlager und Lauf,</w:t>
      </w:r>
    </w:p>
    <w:p>
      <w:pPr>
        <w:ind w:left="420"/>
      </w:pPr>
      <w:r>
        <w:t xml:space="preserve">2. Angaben über den zulässigen Höchstwert des Gebrauchsgasdruckes,</w:t>
      </w:r>
    </w:p>
    <w:p>
      <w:pPr>
        <w:ind w:left="420"/>
      </w:pPr>
      <w:r>
        <w:t xml:space="preserve">3. ein der Anlage III entsprechender Messlauf für den Patronentyp und</w:t>
      </w:r>
    </w:p>
    <w:p>
      <w:pPr>
        <w:ind w:left="420"/>
      </w:pPr>
      <w:r>
        <w:t xml:space="preserve">4. Patronenprüflehren.</w:t>
      </w:r>
    </w:p>
    <w:p>
      <w:r>
        <w:t xml:space="preserve">Satz 1 gilt nicht für die Zulassung eines Munitionstyps, der bereits in den Maßtafeln aufgeführt ist.</w:t>
      </w:r>
    </w:p>
    <w:p>
      <w:r>
        <w:t xml:space="preserve">(3) Die Zulassungsbehörde kann vom Antragsteller die Vorlage von 3.000 Stück Patronen oder Kartuschen zur wahllosen Probennahme verlangen.</w:t>
      </w:r>
    </w:p>
    <w:p>
      <w:r>
        <w:rPr>
          <w:color w:val="555555"/>
          <w:sz w:val="17"/>
        </w:rPr>
        <w:t xml:space="preserve">Zitiervorschlag: § 30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