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BeschussV — Mindestzustand des Prüfgegenstandes</w:t>
      </w:r>
    </w:p>
    <w:p>
      <w:r>
        <w:rPr>
          <w:color w:val="555555"/>
          <w:sz w:val="18"/>
        </w:rPr>
        <w:t xml:space="preserve">Beschussverordnung</w:t>
      </w:r>
    </w:p>
    <w:p>
      <w:r>
        <w:rPr>
          <w:color w:val="555555"/>
          <w:sz w:val="18"/>
        </w:rPr>
        <w:t xml:space="preserve">Stand: 01.01.2022 (konsolidierte Textfassung, kein amtliches Inkrafttretensdatum)</w:t>
      </w:r>
    </w:p>
    <w:p>
      <w:r>
        <w:t xml:space="preserve">(1) Die Beschussprüfung ist an gebrauchsfertigen Prüfgegenständen durchzuführen. Bei Mehrladewaffen gehört zur gebrauchsfertigen Waffe auch die Mehrladeeinrichtung. Die Beschussprüfung kann auch an weißfertigen Waffen und weißfertigen Teilen vorgenommen werden.</w:t>
      </w:r>
    </w:p>
    <w:p>
      <w:r>
        <w:t xml:space="preserve">(2) Bei der Prüfung höchstbeanspruchter Teile entfällt die Prüfung der Funktionssicherheit, sofern das Teil für eine serienmäßig gefertigte Waffe bestimmt ist. Eine aus bereits beschossenen höchstbeanspruchten Teilen zusammengesetzte Feuerwaffe ist zu beschießen, wenn Nacharbeiten an diesen Teilen erfolgt sind oder wenn nicht alle diese Teile mit dem für diese Waffen vorgeschriebenen Beschussgasdruck beschossen worden sind. Werden höchstbeanspruchte Teile als Einzelteile zur Prüfung vorgelegt, erfolgt diese in einer minimal tolerierten Referenzwaffe. Zur Identifizierung ist vom Antragsteller auf jedem höchstbeanspruchten Teil eine Nummer anzubringen.</w:t>
      </w:r>
    </w:p>
    <w:p>
      <w:r>
        <w:t xml:space="preserve">(3) Nicht mindestens weißfertige Prüfgegenstände sind dem Antragsteller ohne Prüfung zurückzugeben.</w:t>
      </w:r>
    </w:p>
    <w:p>
      <w:r>
        <w:t xml:space="preserve">(4) Feuerwaffen und Läufe, aus denen Munition verschossen wird, sind dem Antragsteller auch dann ohne Prüfung zurückzugeben, wenn die Munition nicht in den Maßtafeln aufgeführt ist. Dies gilt nicht, wenn</w:t>
      </w:r>
    </w:p>
    <w:p>
      <w:pPr>
        <w:ind w:left="420"/>
      </w:pPr>
      <w:r>
        <w:t xml:space="preserve">1. eine Waffe für Munition, die nach § 11 Abs. 2 Nr. 2 des Gesetzes keiner Zulassung bedarf oder auf Grund einer Ausnahmebewilligung nach § 13 des Gesetzes oder von der Behörde eines Staates zugelassen ist, mit dem die gegenseitige Anerkennung der Prüfzeichen vereinbart ist, oder</w:t>
      </w:r>
    </w:p>
    <w:p>
      <w:pPr>
        <w:ind w:left="420"/>
      </w:pPr>
      <w:r>
        <w:t xml:space="preserve">2. eine Waffe zur Beschussprüfung vorgelegt wird, deren Abmessungen nicht in den Maßtafeln enthalten sind; in diesen Fällen kann die Prüfung auf Grund der vom Antragsteller gelieferten Waffen- und Munitionsdaten vorgenommen werden.</w:t>
      </w:r>
    </w:p>
    <w:p>
      <w:r>
        <w:rPr>
          <w:color w:val="555555"/>
          <w:sz w:val="17"/>
        </w:rPr>
        <w:t xml:space="preserve">Zitiervorschlag: § 3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