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BeschussV — Zulassung und Prüfung von Patronen- und Kartuschenmunition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Zulassungsprüfung nach § 11 des Gesetzes umfasst die Prüfung</w:t>
      </w:r>
    </w:p>
    <w:p>
      <w:pPr>
        <w:ind w:left="420"/>
      </w:pPr>
      <w:r>
        <w:t xml:space="preserve">1. der vorgesehenen Bezeichnung der Munition,</w:t>
      </w:r>
    </w:p>
    <w:p>
      <w:pPr>
        <w:ind w:left="420"/>
      </w:pPr>
      <w:r>
        <w:t xml:space="preserve">2. der vorgeschriebenen Kennzeichnung auf der kleinsten Verpackungseinheit,</w:t>
      </w:r>
    </w:p>
    <w:p>
      <w:pPr>
        <w:ind w:left="420"/>
      </w:pPr>
      <w:r>
        <w:t xml:space="preserve">3. der vorgeschriebenen Kennzeichnung auf jeder Patrone oder Kartusche,</w:t>
      </w:r>
    </w:p>
    <w:p>
      <w:pPr>
        <w:ind w:left="420"/>
      </w:pPr>
      <w:r>
        <w:t xml:space="preserve">4. der Maßhaltigkeit,</w:t>
      </w:r>
    </w:p>
    <w:p>
      <w:pPr>
        <w:ind w:left="420"/>
      </w:pPr>
      <w:r>
        <w:t xml:space="preserve">5. des Gasdruckes oder an dessen Stelle im Falle fehlender Vorgabe oder erheblicher messtechnischer Schwierigkeiten der entsprechenden Vergleichswerte,</w:t>
      </w:r>
    </w:p>
    <w:p>
      <w:pPr>
        <w:ind w:left="420"/>
      </w:pPr>
      <w:r>
        <w:t xml:space="preserve">6. des Aufbaus der Patronen, der Geschwindigkeit und des Impulses der Schrote bei Stahlschrotpatronen,</w:t>
      </w:r>
    </w:p>
    <w:p>
      <w:pPr>
        <w:ind w:left="420"/>
      </w:pPr>
      <w:r>
        <w:t xml:space="preserve">7. der Funktionssicherheit.</w:t>
      </w:r>
    </w:p>
    <w:p>
      <w:r>
        <w:rPr>
          <w:color w:val="555555"/>
          <w:sz w:val="17"/>
        </w:rPr>
        <w:t xml:space="preserve">Zitiervorschlag: § 29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