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BeschussV — Begriffsbestimmungen</w:t>
      </w:r>
    </w:p>
    <w:p>
      <w:r>
        <w:rPr>
          <w:color w:val="555555"/>
          <w:sz w:val="18"/>
        </w:rPr>
        <w:t xml:space="preserve">Beschussverordnung</w:t>
      </w:r>
    </w:p>
    <w:p>
      <w:r>
        <w:rPr>
          <w:color w:val="555555"/>
          <w:sz w:val="18"/>
        </w:rPr>
        <w:t xml:space="preserve">Stand: 10.06.2019 (konsolidierte Textfassung, kein amtliches Inkrafttretensdatum)</w:t>
      </w:r>
    </w:p>
    <w:p>
      <w:r>
        <w:t xml:space="preserve">(1) Der Typ einer Patronen- oder Kartuschenmunition wird bestimmt durch die in den Maßtafeln festgelegte Bezeichnung oder durch eine zugelassene Bezeichnung nach § 27 Abs. 1 Satz 1.</w:t>
      </w:r>
    </w:p>
    <w:p>
      <w:r>
        <w:t xml:space="preserve">(2) Das Los einer Patronen- oder Kartuschenmunition ist</w:t>
      </w:r>
    </w:p>
    <w:p>
      <w:pPr>
        <w:ind w:left="420"/>
      </w:pPr>
      <w:r>
        <w:t xml:space="preserve">1. die Gesamtheit einer Munition desselben Typs, die von demselben Hersteller in einer Serie gefertigt wird, ohne Änderung wesentlicher Komponenten,</w:t>
      </w:r>
    </w:p>
    <w:p>
      <w:pPr>
        <w:ind w:left="420"/>
      </w:pPr>
      <w:r>
        <w:t xml:space="preserve">2. bei Munition aus Staaten, mit denen die gegenseitige Anerkennung der Prüfzeichen nicht vereinbart ist, die Gesamtheit der Munition, die von demselben Verbringer in einer Lieferung in den Geltungsbereich des Gesetzes verbracht werden soll, wenn sie die Merkmale nach Nummer 1 aufweist.</w:t>
      </w:r>
    </w:p>
    <w:p>
      <w:r>
        <w:rPr>
          <w:color w:val="555555"/>
          <w:sz w:val="17"/>
        </w:rPr>
        <w:t xml:space="preserve">Zitiervorschlag: § 28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