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26 BeschussV — Zulässige und nicht zulässige Munition</w:t>
      </w:r>
    </w:p>
    <w:p>
      <w:r>
        <w:rPr>
          <w:color w:val="555555"/>
          <w:sz w:val="18"/>
        </w:rPr>
        <w:t xml:space="preserve">Beschussverordnung</w:t>
      </w:r>
    </w:p>
    <w:p>
      <w:r>
        <w:rPr>
          <w:color w:val="555555"/>
          <w:sz w:val="18"/>
        </w:rPr>
        <w:t xml:space="preserve">Stand: 01.01.2022 (konsolidierte Textfassung, kein amtliches Inkrafttretensdatum)</w:t>
      </w:r>
    </w:p>
    <w:p>
      <w:r>
        <w:t xml:space="preserve">(1) In den Maßtafeln werden festgelegt</w:t>
      </w:r>
    </w:p>
    <w:p>
      <w:pPr>
        <w:ind w:left="420"/>
      </w:pPr>
      <w:r>
        <w:t xml:space="preserve">1. die Maße für die Patronen- oder Kartuschenlager und für die Übergänge, bei glatten Läufen die Innendurchmesser und bei gezogenen Läufen die Feld- und Zugdurchmesser, erforderlichenfalls auch die Laufquerschnitte von Feuerwaffen, Einsteckläufen und Austauschläufen sowie die Verschlussabstände von Feuerwaffen (Maßtafeln - § 14 Abs. 1 Nr. 1 des Gesetzes),</w:t>
      </w:r>
    </w:p>
    <w:p>
      <w:pPr>
        <w:ind w:left="420"/>
      </w:pPr>
      <w:r>
        <w:t xml:space="preserve">2. die zulässigen Höchst- und Mindestmaße, die zulässigen höchsten Gebrauchsgasdrücke, bei Schrotmunition auch für die verstärkte Ladung, oder die Höchst- und Mindestenergien, außerdem bei Stahlschrotmunition die höchstzulässigen Mündungsgeschwindigkeiten, Mündungsimpulse und Durchmesser der Schrote, und die Bezeichnung der Munition und der Treibladungen nach Anlage 1 Abschnitt 1 Unterabschnitt 3 Nr. 1 und 2 des Waffengesetzes (§ 14 Abs. 3 des Gesetzes),</w:t>
      </w:r>
    </w:p>
    <w:p>
      <w:pPr>
        <w:ind w:left="420"/>
      </w:pPr>
      <w:r>
        <w:t xml:space="preserve">3. die zulässigen Höchstmaße, die Höchst- und Mindestgasdrücke oder -energien und die Bezeichnung der pyrotechnischen Munition (§ 14 Abs. 1 Nr. 1 des Gesetzes).</w:t>
      </w:r>
    </w:p>
    <w:p>
      <w:r>
        <w:t xml:space="preserve">(2) Ist die Hülse einer Munition ummantelt, so gelten die in den Maßtafeln festgelegten Maße nur für die Hülse.</w:t>
      </w:r>
    </w:p>
    <w:p>
      <w:r>
        <w:t xml:space="preserve">(3) Nicht zulässig sind</w:t>
      </w:r>
    </w:p>
    <w:p>
      <w:pPr>
        <w:ind w:left="420"/>
      </w:pPr>
      <w:r>
        <w:t xml:space="preserve">1. Munition nach Anlage 2 Abschnitt 1 Nr. 1.5.1 bis 1.5.6 des Waffengesetzes,</w:t>
      </w:r>
    </w:p>
    <w:p>
      <w:pPr>
        <w:ind w:left="420"/>
      </w:pPr>
      <w:r>
        <w:t xml:space="preserve">2. Schrotpatronen mit Schroten mit einer Vickershärte HV 1 von über 110 an der Oberfläche oder von über 100 im Inneren und</w:t>
      </w:r>
    </w:p>
    <w:p>
      <w:pPr>
        <w:ind w:left="420"/>
      </w:pPr>
      <w:r>
        <w:t xml:space="preserve">3. Stahlschrotpatronen ohne geeignete Ummantelung der Schrotladung.</w:t>
      </w:r>
    </w:p>
    <w:p>
      <w:r>
        <w:rPr>
          <w:color w:val="555555"/>
          <w:sz w:val="17"/>
        </w:rPr>
        <w:t xml:space="preserve">Zitiervorschlag: § 26 BeschussV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https://recht.nulegal.eu/gesetze/BeschussV/26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