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BeschussV — Prüfzeichen bei Wiederholungsprüfungen</w:t>
      </w:r>
    </w:p>
    <w:p>
      <w:r>
        <w:rPr>
          <w:color w:val="555555"/>
          <w:sz w:val="18"/>
        </w:rPr>
        <w:t xml:space="preserve">Beschussverordnung</w:t>
      </w:r>
    </w:p>
    <w:p>
      <w:r>
        <w:rPr>
          <w:color w:val="555555"/>
          <w:sz w:val="18"/>
        </w:rPr>
        <w:t xml:space="preserve">Stand: 10.06.2019 (konsolidierte Textfassung, kein amtliches Inkrafttretensdatum)</w:t>
      </w:r>
    </w:p>
    <w:p>
      <w:r>
        <w:t xml:space="preserve">(1) Hat die Prüfung eines Gerätes nach § 24 Abs. 1 keine Beanstandungen ergeben, so hat die prüfende Stelle das Prüfzeichen anzubringen.</w:t>
      </w:r>
    </w:p>
    <w:p>
      <w:r>
        <w:t xml:space="preserve">(2) Das Prüfzeichen für Geräte nach § 24 Abs. 1 muss dem Muster der Anlage II Abbildung 8 entsprechen. Es ist auf dem Lauf oder dem Gehäuse dauerhaft so anzubringen, dass die Zahl des Quartals, in dem das Gerät geprüft wurde, zur Laufmündung zeigt. Wird das Prüfzeichen in Form einer Plakette angebracht, so muss diese in Schwarzdruck auf silbrigem Grund ausgeführt sein.</w:t>
      </w:r>
    </w:p>
    <w:p>
      <w:r>
        <w:t xml:space="preserve">(3) Über die Prüfung des Gerätes nach § 24 Abs. 1 hat der Hersteller oder sein Beauftragter dem Betreiber eine Prüfbescheinigung auszustellen, aus der das Ergebnis und das Datum der Prüfung, die prüfende Stelle und der Name des mit der Prüfung Beauftragten hervorgehen.</w:t>
      </w:r>
    </w:p>
    <w:p>
      <w:r>
        <w:rPr>
          <w:color w:val="555555"/>
          <w:sz w:val="17"/>
        </w:rPr>
        <w:t xml:space="preserve">Zitiervorschlag: § 25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