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BeschussV — Wiederholungsprüfung betriebener Schussapparate</w:t>
      </w:r>
    </w:p>
    <w:p>
      <w:r>
        <w:rPr>
          <w:color w:val="555555"/>
          <w:sz w:val="18"/>
        </w:rPr>
        <w:t xml:space="preserve">Beschussverordnung</w:t>
      </w:r>
    </w:p>
    <w:p>
      <w:r>
        <w:rPr>
          <w:color w:val="555555"/>
          <w:sz w:val="18"/>
        </w:rPr>
        <w:t xml:space="preserve">Stand: 10.06.2019 (konsolidierte Textfassung, kein amtliches Inkrafttretensdatum)</w:t>
      </w:r>
    </w:p>
    <w:p>
      <w:r>
        <w:t xml:space="preserve">(1) Der Betreiber eines Schussapparates oder eines nicht tragbaren Gerätes, in dem zum Antrieb in Hülsen untergebrachte Treibladungen verwendet werden und das für technische Zwecke bestimmt ist, hat das Gerät dem Hersteller oder dessen Beauftragten jeweils nach zwei Jahren, bei wesentlichen Funktionsmängeln unverzüglich vorzulegen. Satz 1 gilt nicht für Leinenwurfgeräte, die auf Seeschiffen verwendet werden, und nicht für Industriekanonen.</w:t>
      </w:r>
    </w:p>
    <w:p>
      <w:r>
        <w:t xml:space="preserve">(2) Die Frist bis zur ersten Wiederholungsprüfung nach Absatz 1 beginnt</w:t>
      </w:r>
    </w:p>
    <w:p>
      <w:pPr>
        <w:ind w:left="420"/>
      </w:pPr>
      <w:r>
        <w:t xml:space="preserve">1. bei Bolzensetzwerkzeugen, Press- und Kerbgeräten mit der Auslieferung des Gerätes an den Betreiber oder Händler,</w:t>
      </w:r>
    </w:p>
    <w:p>
      <w:pPr>
        <w:ind w:left="420"/>
      </w:pPr>
      <w:r>
        <w:t xml:space="preserve">2. bei anderen Schussapparaten mit der Auslieferung des Gerätes an den Betreiber.</w:t>
      </w:r>
    </w:p>
    <w:p>
      <w:r>
        <w:t xml:space="preserve">Der Fristbeginn ist nachzuweisen im Falle von Satz 1 Nr. 1 durch eine vom Hersteller auf dem Gerät anzubringende Plakette, im Falle von Satz 1 Nr. 2 durch eine Bescheinigung, die der Hersteller oder Händler dem Schussapparat beim Überlassen an den Betreiber beizufügen hat.</w:t>
      </w:r>
    </w:p>
    <w:p>
      <w:r>
        <w:t xml:space="preserve">(3) Der Hersteller oder sein Beauftragter hat zu prüfen, ob ein Gerät nach Absatz 1 funktionssicher (Anlage I) ist und ob es dem Baumuster entspricht. Bei aus einem anderen Staat eingeführten Schussapparaten, die ein anerkanntes Prüfzeichen tragen, gilt als Beauftragter des Herstellers der Verbringer, der im Geltungsbereich des Gesetzes eine Niederlassung besitzt.</w:t>
      </w:r>
    </w:p>
    <w:p>
      <w:r>
        <w:rPr>
          <w:color w:val="555555"/>
          <w:sz w:val="17"/>
        </w:rPr>
        <w:t xml:space="preserve">Zitiervorschlag: § 24 BeschussV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https://recht.nulegal.eu/gesetze/BeschussV/24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