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BeschussV — Bekanntmachungen</w:t>
      </w:r>
    </w:p>
    <w:p>
      <w:r>
        <w:rPr>
          <w:color w:val="555555"/>
          <w:sz w:val="18"/>
        </w:rPr>
        <w:t xml:space="preserve">Beschussverordnung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Zulassung der Bauart der in den §§ 7, 8 und 9 Abs. 5 des Gesetzes bezeichneten Gegenstände, ihre Änderung, Berichtigung, Rücknahme und ihr Widerruf werden im Bundesanzeiger und im Amts- und Mitteilungsblatt der Physikalisch-Technischen Bundesanstalt bekannt gemacht. Die Bekanntmachung soll die in § 19 Abs. 2 Nr. 1, 2 und 4 bezeichneten Angaben, die Kennnummer nach § 20 Abs. 2 Satz 1 und die Bezeichnung der zugehörigen Gebrauchsmunition enthalten.</w:t>
      </w:r>
    </w:p>
    <w:p>
      <w:r>
        <w:t xml:space="preserve">(2) Bei Zulassungen nach § 10 des Gesetzes hat die Bundesanstalt für Materialforschung und -prüfung eine Liste der erteilten Zulassungen für pyrotechnische Munition zu führen und diese auf dem neuesten Stand zu halten. Die Liste soll die folgenden Angaben enthalten:</w:t>
      </w:r>
    </w:p>
    <w:p>
      <w:pPr>
        <w:ind w:left="420"/>
      </w:pPr>
      <w:r>
        <w:t xml:space="preserve">1. das vollständige Zulassungszeichen,</w:t>
      </w:r>
    </w:p>
    <w:p>
      <w:pPr>
        <w:ind w:left="420"/>
      </w:pPr>
      <w:r>
        <w:t xml:space="preserve">2. die Bezeichnung der pyrotechnischen Munition,</w:t>
      </w:r>
    </w:p>
    <w:p>
      <w:pPr>
        <w:ind w:left="420"/>
      </w:pPr>
      <w:r>
        <w:t xml:space="preserve">3. Name und Anschrift des Zulassungsinhabers,</w:t>
      </w:r>
    </w:p>
    <w:p>
      <w:pPr>
        <w:ind w:left="420"/>
      </w:pPr>
      <w:r>
        <w:t xml:space="preserve">4. Beschränkungen, Befristungen und Auflagen, insbesondere die von der Bundesanstalt für Materialforschung und -prüfung festgelegten Verwendungshinweise in Code-Nummern. Die Bedeutung der Code-Nummern wird im Vorspann der Liste erläutert.</w:t>
      </w:r>
    </w:p>
    <w:p>
      <w:r>
        <w:t xml:space="preserve">Die Liste ist bei der Bundesanstalt für Materialforschung und -prüfung während der Dienststunden auszulegen. Auf Verlangen eines Dritten ist diesem gegen Kostenerstattung eine Abschrift oder Vervielfältigung zu überlassen.</w:t>
      </w:r>
    </w:p>
    <w:p>
      <w:r>
        <w:t xml:space="preserve">(3) Die Physikalisch-Technische Bundesanstalt hat dem Ständigen Büro der Ständigen Internationalen Kommission für die Prüfung der Handfeuerwaffen Mitteilung zu machen über</w:t>
      </w:r>
    </w:p>
    <w:p>
      <w:pPr>
        <w:ind w:left="420"/>
      </w:pPr>
      <w:r>
        <w:t xml:space="preserve">1. Anordnungen nach § 23 Abs. 2 Satz 2,</w:t>
      </w:r>
    </w:p>
    <w:p>
      <w:pPr>
        <w:ind w:left="420"/>
      </w:pPr>
      <w:r>
        <w:t xml:space="preserve">2. die Erteilung, die Rücknahme oder den Widerruf einer Zulassung von Schussapparaten nach den §§ 7 und 8 des Gesetzes. Die Mitteilung über die Erteilung besteht aus einer Kopie des Zulassungsbescheides.</w:t>
      </w:r>
    </w:p>
    <w:p>
      <w:r>
        <w:rPr>
          <w:color w:val="555555"/>
          <w:sz w:val="17"/>
        </w:rPr>
        <w:t xml:space="preserve">Zitiervorschlag: § 21 BeschussV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https://recht.nulegal.eu/gesetze/BeschussV/21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