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BeschussV — Antragsverfahren</w:t>
      </w:r>
    </w:p>
    <w:p>
      <w:r>
        <w:rPr>
          <w:color w:val="555555"/>
          <w:sz w:val="18"/>
        </w:rPr>
        <w:t xml:space="preserve">Beschussverordnung</w:t>
      </w:r>
    </w:p>
    <w:p>
      <w:r>
        <w:rPr>
          <w:color w:val="555555"/>
          <w:sz w:val="18"/>
        </w:rPr>
        <w:t xml:space="preserve">Stand: 10.06.2019 (konsolidierte Textfassung, kein amtliches Inkrafttretensdatum)</w:t>
      </w:r>
    </w:p>
    <w:p>
      <w:r>
        <w:t xml:space="preserve">(1) Die Bauartzulassung ist schriftlich oder elektronisch zu beantragen. Der Antragsteller hat in dem Antrag anzugeben:</w:t>
      </w:r>
    </w:p>
    <w:p>
      <w:pPr>
        <w:ind w:left="420"/>
      </w:pPr>
      <w:r>
        <w:t xml:space="preserve">1. seinen Namen oder seine Firma und seine Anschrift, bei der Verbringung in den Geltungsbereich des Gesetzes den Namen oder die Firma und die Anschrift dessen, der die Gegenstände verbringt,</w:t>
      </w:r>
    </w:p>
    <w:p>
      <w:pPr>
        <w:ind w:left="420"/>
      </w:pPr>
      <w:r>
        <w:t xml:space="preserve">2. die angezeigte Marke, die auf dem Gegenstand angebracht werden soll,</w:t>
      </w:r>
    </w:p>
    <w:p>
      <w:pPr>
        <w:ind w:left="420"/>
      </w:pPr>
      <w:r>
        <w:t xml:space="preserve">3. die Modellbezeichnung der Schusswaffe oder des Einstecklaufs oder die Bezeichnung der pyrotechnischen Munition, wobei für Schusswaffen neben einer vorrangigen weitere Modellbezeichnungen verwendet werden dürfen, wenn sie der zulassenden Behörde, auch nach der Erteilung der Zulassung, angezeigt wurden,</w:t>
      </w:r>
    </w:p>
    <w:p>
      <w:pPr>
        <w:ind w:left="420"/>
      </w:pPr>
      <w:r>
        <w:t xml:space="preserve">4. im Falle der Zulassung nach § 10 des Gesetzes auch die Herstellungsstätte.</w:t>
      </w:r>
    </w:p>
    <w:p>
      <w:r>
        <w:t xml:space="preserve">(2) Der Antragsteller hat dem Antrag beizufügen</w:t>
      </w:r>
    </w:p>
    <w:p>
      <w:pPr>
        <w:ind w:left="420"/>
      </w:pPr>
      <w:r>
        <w:t xml:space="preserve">1. bei der Zulassung nach</w:t>
      </w:r>
    </w:p>
    <w:p>
      <w:pPr>
        <w:ind w:left="780"/>
      </w:pPr>
      <w:r>
        <w:t xml:space="preserve">a) den §§ 7, 8 und 9 Abs. 1 des Gesetzes ein oder zwei Baumuster des Gegenstandes der für die Systemprüfung benötigten Geräteteile und der dazugehörigen Munition oder Geschosse,</w:t>
      </w:r>
    </w:p>
    <w:p>
      <w:pPr>
        <w:ind w:left="780"/>
      </w:pPr>
      <w:r>
        <w:t xml:space="preserve">b) § 10 des Gesetzes eine ausreichende Stückzahl der pyrotechnischen Munition,</w:t>
      </w:r>
    </w:p>
    <w:p>
      <w:pPr>
        <w:ind w:left="420"/>
      </w:pPr>
      <w:r>
        <w:t xml:space="preserve">2. eine nach den Regeln der Technik gefertigte Schnittzeichnung, die alle für die Zulassung wichtigen Angaben über die Maße und Werkstoffe enthält, eine Ansichtszeichnung gleicher Qualität, ersatzweise eine Fotografie, jeweils in dreifacher Ausfertigung, und eine Betriebsanleitung in deutscher Sprache, soweit sie den Gegenständen beim Vertrieb beigegeben wird,</w:t>
      </w:r>
    </w:p>
    <w:p>
      <w:pPr>
        <w:ind w:left="420"/>
      </w:pPr>
      <w:r>
        <w:t xml:space="preserve">3. bei Bolzensetzwerkzeugen mit Kolben und magazinierten Kartuschen zur Durchführung der Systemprüfung die Angaben darüber, durch welche Teile das System bestimmt sein soll, sowie deren technische Daten,</w:t>
      </w:r>
    </w:p>
    <w:p>
      <w:pPr>
        <w:ind w:left="420"/>
      </w:pPr>
      <w:r>
        <w:t xml:space="preserve">4. bei Schusswaffen, Schussapparaten oder Einsteckläufen, die zum Verschießen von nach § 11 Abs. 1 des Gesetzes zugelassener Munition bestimmt sind, die für die Prüfung erforderliche Munition und</w:t>
      </w:r>
    </w:p>
    <w:p>
      <w:pPr>
        <w:ind w:left="420"/>
      </w:pPr>
      <w:r>
        <w:t xml:space="preserve">5. bei Schussapparaten, die im Geltungsbereich des Gesetzes verwendet werden sollen, außerdem eine Erklärung, aus der hervorgeht, an welchem Ort oder an welchen Orten er die für die Durchführung von Wiederholungsprüfungen erforderlichen Einrichtungen unterhält oder wen er mit der Durchführung dieser Prüfung beauftragt hat.</w:t>
      </w:r>
    </w:p>
    <w:p>
      <w:r>
        <w:t xml:space="preserve">(3) Der Antragsteller hat der Zulassungsbehörde auf Verlangen</w:t>
      </w:r>
    </w:p>
    <w:p>
      <w:pPr>
        <w:ind w:left="420"/>
      </w:pPr>
      <w:r>
        <w:t xml:space="preserve">1. das in Absatz 2 Nr. 1 Buchstabe a bezeichnete Baumuster oder an dessen Stelle einen serienmäßig gefertigten Gegenstand des zugelassenen Modells und, im Falle der Zulassung pyrotechnischer Munition, auch eine serienmäßig gefertigte Schusswaffe zum Verschießen dieser Munition zu überlassen und</w:t>
      </w:r>
    </w:p>
    <w:p>
      <w:pPr>
        <w:ind w:left="420"/>
      </w:pPr>
      <w:r>
        <w:t xml:space="preserve">2. Teilzeichnungen des Modells einzureichen.</w:t>
      </w:r>
    </w:p>
    <w:p>
      <w:r>
        <w:t xml:space="preserve">(4) Bei Anträgen auf Zulassung von Schussapparaten und anderen nicht tragbaren Geräten, in denen zum Antrieb in Hülsen untergebrachte Treibladungen verwendet werden und die für technische Zwecke bestimmt sind, soll die Physikalisch-Technische Bundesanstalt die Berufsgenossenschaftliche Zentrale für Sicherheit und Gesundheit der Deutschen Gesetzlichen Unfallversicherung e. V. anhören; bestehen Zweifel, ob der Prüfgegenstand den Anforderungen an den Werkstoff und die Festigkeit entspricht, ist die Bundesanstalt für Materialforschung und -prüfung zu beteiligen. Bei anderen nicht tragbaren Geräten, in denen zum Antrieb in Hülsen untergebrachte Treibladungen verwendet werden und die für technische Zwecke bestimmt sind, unterliegen der Bauartzulassung nur die Auslösevorrichtung und die Teile des Gerätes, die dem Druck der Pulvergase unmittelbar ausgesetzt sind.</w:t>
      </w:r>
    </w:p>
    <w:p>
      <w:r>
        <w:t xml:space="preserve">(5) Bei nicht tragbaren Geräten, in denen zum Antrieb in Hülsen untergebrachte Treibladungen verwendet werden und die für technische Zwecke bestimmt sind, die ortsfest eingebaut werden, entfällt die Vorlage eines Baumusters nach Absatz 2 Nr. 1 Buchstabe a. Die Physikalisch-Technische Bundesanstalt kann im Benehmen mit der Berufsgenossenschaftlichen Zentrale für Sicherheit und Gesundheit der Deutschen Gesetzlichen Unfallversicherung e. V. Prüfungen am Betriebsort vornehmen.</w:t>
      </w:r>
    </w:p>
    <w:p>
      <w:r>
        <w:rPr>
          <w:color w:val="555555"/>
          <w:sz w:val="17"/>
        </w:rPr>
        <w:t xml:space="preserve">Zitiervorschlag: § 18 BeschussV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https://recht.nulegal.eu/gesetze/BeschussV/18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