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BeschussV — Kennzeichnung der Verpackung von Reizstoffgeschossen und Reizstoffsprühgeräten</w:t>
      </w:r>
    </w:p>
    <w:p>
      <w:r>
        <w:rPr>
          <w:color w:val="555555"/>
          <w:sz w:val="18"/>
        </w:rPr>
        <w:t xml:space="preserve">Beschussverordnung</w:t>
      </w:r>
    </w:p>
    <w:p>
      <w:r>
        <w:rPr>
          <w:color w:val="555555"/>
          <w:sz w:val="18"/>
        </w:rPr>
        <w:t xml:space="preserve">Stand: 10.06.2019 (konsolidierte Textfassung, kein amtliches Inkrafttretensdatum)</w:t>
      </w:r>
    </w:p>
    <w:p>
      <w:r>
        <w:t xml:space="preserve">(1) Auf der kleinsten Verpackungseinheit von Reizstoffgeschossen sind außer der Kennzeichnung nach § 24 Abs. 3 des Waffengesetzes folgende Angaben anzubringen:</w:t>
      </w:r>
    </w:p>
    <w:p>
      <w:pPr>
        <w:ind w:left="420"/>
      </w:pPr>
      <w:r>
        <w:t xml:space="preserve">1. die Aufschrift "Reizstoff",</w:t>
      </w:r>
    </w:p>
    <w:p>
      <w:pPr>
        <w:ind w:left="420"/>
      </w:pPr>
      <w:r>
        <w:t xml:space="preserve">2. die gebräuchliche wissenschaftliche Bezeichnung des Reizstoffes,</w:t>
      </w:r>
    </w:p>
    <w:p>
      <w:pPr>
        <w:ind w:left="420"/>
      </w:pPr>
      <w:r>
        <w:t xml:space="preserve">3. die Masse des in einem Geschoss enthaltenen Reizstoffes,</w:t>
      </w:r>
    </w:p>
    <w:p>
      <w:pPr>
        <w:ind w:left="420"/>
      </w:pPr>
      <w:r>
        <w:t xml:space="preserve">4. der Zeitpunkt (Jahr und Monat), bis zu dem der Reizstoff versprüht oder die Geschosse verschossen werden dürfen, und</w:t>
      </w:r>
    </w:p>
    <w:p>
      <w:pPr>
        <w:ind w:left="420"/>
      </w:pPr>
      <w:r>
        <w:t xml:space="preserve">5. die Aufschrift "In Entfernungen unter 1 m Gefahr gesundheitlicher Schädigungen!".</w:t>
      </w:r>
    </w:p>
    <w:p>
      <w:r>
        <w:t xml:space="preserve">(2) Geräte, aus denen Reizstoffe versprüht oder ausgestoßen werden, sind mit dem Namen oder einer eingetragenen Marke des Herstellers, einer Produktbezeichnung und entsprechend Absatz 1 Nr. 1, 2, 4 und 5 sowie mit der Angabe des Inhalts und der Konzentration der Reizstofflösung zu kennzeichnen. Geräte mit auswechselbaren Reizstoffbehältern sind entsprechend Absatz 1 Nr. 1 und 5, die auswechselbaren Reizstoffbehälter selbst nach Satz 1 zu kennzeichnen. Kartuschenmunition mit Reizstoffen ist auf dem Hülsenboden mit der Kurzbezeichnung des in der Kartusche enthaltenen Reizstoffes zu kennzeichnen. Soweit sich die Kennzeichnung auf dem Hülsenboden wegen der geringen Größe der Munition oder aus sonstigen technischen Gründen nicht anbringen lässt, ist folgende Farbkennzeichnung am Hülsenmund anzubringen:</w:t>
      </w:r>
    </w:p>
    <w:p>
      <w:pPr>
        <w:ind w:left="780"/>
      </w:pPr>
      <w:r>
        <w:t xml:space="preserve">Blau - Reizstoffmunition mit CN,</w:t>
      </w:r>
    </w:p>
    <w:p>
      <w:pPr>
        <w:ind w:left="780"/>
      </w:pPr>
      <w:r>
        <w:t xml:space="preserve">Gelb - Reizstoffmunition mit CS,</w:t>
      </w:r>
    </w:p>
    <w:p>
      <w:pPr>
        <w:ind w:left="780"/>
      </w:pPr>
      <w:r>
        <w:t xml:space="preserve">Rot - sonstige Reizstoffmunition.</w:t>
      </w:r>
    </w:p>
    <w:p>
      <w:r>
        <w:t xml:space="preserve">(3) Jeder kleinsten Verpackungseinheit von Reizstoffgeschossen und jedem Sprühgerät nach Absatz 2 ist eine Gebrauchsanweisung beizufügen, in der die Methoden sachgerechter Anwendung und die Gefahren einer missbräuchlichen Benutzung zu beschreiben sind.</w:t>
      </w:r>
    </w:p>
    <w:p>
      <w:r>
        <w:rPr>
          <w:color w:val="555555"/>
          <w:sz w:val="17"/>
        </w:rPr>
        <w:t xml:space="preserve">Zitiervorschlag: § 16 BeschussV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https://recht.nulegal.eu/gesetze/BeschussV/16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