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BeschussV — Anforderungen an Reizstoffgeschosse, Reizstoffsprühgeräte und Reizstoffe sowie an Elektroimpulsgeräte</w:t>
      </w:r>
    </w:p>
    <w:p>
      <w:r>
        <w:rPr>
          <w:color w:val="555555"/>
          <w:sz w:val="18"/>
        </w:rPr>
        <w:t xml:space="preserve">Beschussverordnung</w:t>
      </w:r>
    </w:p>
    <w:p>
      <w:r>
        <w:rPr>
          <w:color w:val="555555"/>
          <w:sz w:val="18"/>
        </w:rPr>
        <w:t xml:space="preserve">Stand: 10.06.2019 (konsolidierte Textfassung, kein amtliches Inkrafttretensdatum)</w:t>
      </w:r>
    </w:p>
    <w:p>
      <w:r>
        <w:t xml:space="preserve">(1) Kartuschenmunition mit Reizstoffen und Geräte, aus denen zu Angriffs- oder Verteidigungszwecken Reizstoffe versprüht oder ausgestoßen werden, müssen hinsichtlich ihrer Beschaffenheit den Anforderungen der Anlage IV Nr. 2 und die darin verwendeten Reizstoffe hinsichtlich ihrer Reizwirkung und zulässigen Menge den Anforderungen der Anlage IV Nr. 3 und 4 entsprechen sowie nach § 16 gekennzeichnet sein.</w:t>
      </w:r>
    </w:p>
    <w:p>
      <w:r>
        <w:t xml:space="preserve">(2) Die Vorschriften über den Verkehr mit Giften, Arzneimitteln und Betäubungsmitteln sowie des Lebensmittelrechts bleiben unberührt.</w:t>
      </w:r>
    </w:p>
    <w:p>
      <w:r>
        <w:t xml:space="preserve">(3) Für die Prüfung der Anforderungen nach Anlage IV ist die Physikalisch-Technische Bundesanstalt zuständig. Die Physikalisch-Technische Bundesanstalt kann mit der Durchführung von Teilen der Prüfung auf Kosten des Antragstellers andere Fachinstitute beauftragen.</w:t>
      </w:r>
    </w:p>
    <w:p>
      <w:r>
        <w:t xml:space="preserve">(4) Die Prüfung ist nach Methoden und Verfahren durchzuführen, die dem jeweiligen Stand der Wissenschaft und Technik entsprechen.</w:t>
      </w:r>
    </w:p>
    <w:p>
      <w:r>
        <w:t xml:space="preserve">(5) Die Anforderungen an Elektroimpulsgeräte sind in Anlage V geregelt. Die Physikalisch-Technische Bundesanstalt prüft nach den anerkannten Methoden der Messtechnik an dem übersandten Muster, ob die in Anlage V festgelegten Grenzwerte eingehalten werden. Wenn die Grenzwerte eingehalten werden, wird der Antragsteller darüber unterrichtet, dass er das Prüfzeichen nach Anlage II Abbildung 12 auf die Elektroimpulsgeräte aufbringen darf. Ohne dieses Prüfzeichen dürfen keine Elektroimpulsgeräte überlassen werden. Die Physikalisch-Technische Bundesanstalt kann mit der Durchführung von Teilen der Prüfung auf Kosten des Antragstellers andere Fachinstitute beauftragen.</w:t>
      </w:r>
    </w:p>
    <w:p>
      <w:r>
        <w:rPr>
          <w:color w:val="555555"/>
          <w:sz w:val="17"/>
        </w:rPr>
        <w:t xml:space="preserve">Zitiervorschlag: § 15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