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BeschussV — Inverkehrbringen von Schussapparaten aus Staaten, mit denen die gegenseitige Anerkennung der Prüfzeichen vereinbart ist</w:t>
      </w:r>
    </w:p>
    <w:p>
      <w:r>
        <w:rPr>
          <w:color w:val="555555"/>
          <w:sz w:val="18"/>
        </w:rPr>
        <w:t xml:space="preserve">Beschussverordnung</w:t>
      </w:r>
    </w:p>
    <w:p>
      <w:r>
        <w:rPr>
          <w:color w:val="555555"/>
          <w:sz w:val="18"/>
        </w:rPr>
        <w:t xml:space="preserve">Stand: 10.06.2019 (konsolidierte Textfassung, kein amtliches Inkrafttretensdatum)</w:t>
      </w:r>
    </w:p>
    <w:p>
      <w:r>
        <w:t xml:space="preserve">Wer Schussapparate, die von der Stelle eines Staates zugelassen sind, mit dem die gegenseitige Anerkennung der Prüfzeichen vereinbart ist, in den Geltungsbereich des Gesetzes verbringt, darf diese nur unter Beifügung einer von der Physikalisch-Technischen Bundesanstalt inhaltlich gebilligten Betriebsanleitung in deutscher Sprache in Verkehr bringen. Der Physikalisch-Technischen Bundesanstalt ist zur Prüfung der Betriebsanleitung auch ein zugelassener, serienmäßig gefertigter Schussapparat zur Verfügung zu stellen. § 18 Abs. 2 Nr. 4 und Abs. 4 gilt entsprechend.</w:t>
      </w:r>
    </w:p>
    <w:p>
      <w:r>
        <w:rPr>
          <w:color w:val="555555"/>
          <w:sz w:val="17"/>
        </w:rPr>
        <w:t xml:space="preserve">Zitiervorschlag: § 13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