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BeschussV — Bescheinigung über das Beschussverfahren</w:t>
      </w:r>
    </w:p>
    <w:p>
      <w:r>
        <w:rPr>
          <w:color w:val="555555"/>
          <w:sz w:val="18"/>
        </w:rPr>
        <w:t xml:space="preserve">Beschussverordnung</w:t>
      </w:r>
    </w:p>
    <w:p>
      <w:r>
        <w:rPr>
          <w:color w:val="555555"/>
          <w:sz w:val="18"/>
        </w:rPr>
        <w:t xml:space="preserve">Stand: 01.01.2022 (konsolidierte Textfassung, kein amtliches Inkrafttretensdatum)</w:t>
      </w:r>
    </w:p>
    <w:p>
      <w:r>
        <w:t xml:space="preserve">(1) Die zuständige Behörde hat eine beschusstechnische Bescheinigung auszustellen</w:t>
      </w:r>
    </w:p>
    <w:p>
      <w:pPr>
        <w:ind w:left="420"/>
      </w:pPr>
      <w:r>
        <w:t xml:space="preserve">1. auf Antrag,</w:t>
      </w:r>
    </w:p>
    <w:p>
      <w:pPr>
        <w:ind w:left="420"/>
      </w:pPr>
      <w:r>
        <w:t xml:space="preserve">2. nach einer Beschussprüfung gemäß § 3 Abs. 4 Satz 2 Nr. 2 oder an Waffen nach § 7 Abs. 1 Satz 3 Nr. 6 oder</w:t>
      </w:r>
    </w:p>
    <w:p>
      <w:pPr>
        <w:ind w:left="420"/>
      </w:pPr>
      <w:r>
        <w:t xml:space="preserve">3. nach einer erstmaligen Prüfung und jeder weiteren Wiederholungsprüfung von Böllern.</w:t>
      </w:r>
    </w:p>
    <w:p>
      <w:r>
        <w:t xml:space="preserve">(2) Bei Feuerwaffen, die der Beschusspflicht unterliegen oder die historische Waffen sind, kann die zuständige Behörde auf Antrag eine Bescheinigung darüber ausstellen, dass eine Prüfung nicht oder nur unter der Gefahr einer Beschädigung oder Zerstörung der Waffe durchgeführt werden kann. Die Bescheinigung muss den Hinweis enthalten, dass die Waffe zum Schießen nicht mehr verwendet werden darf.</w:t>
      </w:r>
    </w:p>
    <w:p>
      <w:r>
        <w:t xml:space="preserve">(3) Für Prüfgegenstände, die die Beschussprüfung nicht bestanden haben, ist dem Antragsteller ein schriftlicher oder elektronischer Prüfhinweis auszustellen,</w:t>
      </w:r>
    </w:p>
    <w:p>
      <w:pPr>
        <w:ind w:left="420"/>
      </w:pPr>
      <w:r>
        <w:t xml:space="preserve">1. aus dem die Daten des Prüfgegenstandes, der Grund der Zurückweisung und das Datum des Beschusses hervorgehen und</w:t>
      </w:r>
    </w:p>
    <w:p>
      <w:pPr>
        <w:ind w:left="420"/>
      </w:pPr>
      <w:r>
        <w:t xml:space="preserve">2. der die Forderung enthält, dass der Prüfgegenstand zum Schießen nicht mehr verwendet werden darf.</w:t>
      </w:r>
    </w:p>
    <w:p>
      <w:r>
        <w:t xml:space="preserve">(4) Sind höchstbeanspruchte Teile nach § 9 Absatz 4 Satz 2 als unbrauchbar gekennzeichnet worden, so stellt die zuständige Behörde auf Antrag eine Bescheinigung im Sinne des Absatzes 3 aus.</w:t>
      </w:r>
    </w:p>
    <w:p>
      <w:r>
        <w:rPr>
          <w:color w:val="555555"/>
          <w:sz w:val="17"/>
        </w:rPr>
        <w:t xml:space="preserve">Zitiervorschlag: § 10 BeschussV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https://recht.nulegal.eu/gesetze/BeschussV/10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