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BeschussV — Prüfverfahren</w:t>
      </w:r>
    </w:p>
    <w:p>
      <w:r>
        <w:rPr>
          <w:color w:val="555555"/>
          <w:sz w:val="18"/>
        </w:rPr>
        <w:t xml:space="preserve">Beschussverordnung</w:t>
      </w:r>
    </w:p>
    <w:p>
      <w:r>
        <w:rPr>
          <w:color w:val="555555"/>
          <w:sz w:val="18"/>
        </w:rPr>
        <w:t xml:space="preserve">Stand: 30.06.2020 (konsolidierte Textfassung, kein amtliches Inkrafttretensdatum)</w:t>
      </w:r>
    </w:p>
    <w:p>
      <w:r>
        <w:t xml:space="preserve">(1) Feuerwaffen, Böller sowie höchstbeanspruchte Teile nach § 2 Abs. 2 des Beschussgesetzes (Gesetzes), die ohne Nacharbeit ausgetauscht werden können (Prüfgegenstände), sind nach den §§ 3 bis 6 und der Anlage I Nr. 1 und 2 amtlich zu prüfen.</w:t>
      </w:r>
    </w:p>
    <w:p>
      <w:r>
        <w:t xml:space="preserve">(2) Die amtliche Prüfung (Beschussprüfung) nach § 5 des Gesetzes besteht aus der Vorprüfung, dem Beschuss und der Nachprüfung.</w:t>
      </w:r>
    </w:p>
    <w:p>
      <w:r>
        <w:t xml:space="preserve">(3) Die Vorprüfung umfasst</w:t>
      </w:r>
    </w:p>
    <w:p>
      <w:pPr>
        <w:ind w:left="420"/>
      </w:pPr>
      <w:r>
        <w:t xml:space="preserve">1. die Prüfung der Kennzeichnung nach § 24 Abs. 1 des Waffengesetzes und nach § 21 der Allgemeinen Waffengesetz-Verordnung,</w:t>
      </w:r>
    </w:p>
    <w:p>
      <w:pPr>
        <w:ind w:left="420"/>
      </w:pPr>
      <w:r>
        <w:t xml:space="preserve">2. die Prüfung der Funktionssicherheit und die Sichtprüfung,</w:t>
      </w:r>
    </w:p>
    <w:p>
      <w:pPr>
        <w:ind w:left="420"/>
      </w:pPr>
      <w:r>
        <w:t xml:space="preserve">3. die Prüfung der Maßhaltigkeit,</w:t>
      </w:r>
    </w:p>
    <w:p>
      <w:pPr>
        <w:ind w:left="420"/>
      </w:pPr>
      <w:r>
        <w:t xml:space="preserve">4. die Beschaffenheitsprüfung bei Gegenständen, die auf Grund einer Zulassung oder Bewilligung nach den §§ 8 und 9 des Gesetzes hergestellt oder in den Geltungsbereich des Gesetzes verbracht wurden.</w:t>
      </w:r>
    </w:p>
    <w:p>
      <w:r>
        <w:t xml:space="preserve">Die Sichtprüfung besteht aus der Prüfung aller höchstbeanspruchten Teile auf Materialfehler, auf Ver- und Bearbeitungsmängel, die die Haltbarkeit beeinträchtigen können, sowie aus der Prüfung auf Lauf- und Lagerverformungen. Die Maßhaltigkeitsprüfung besteht aus der Prüfung der Maße nach Anlage I Nr. 1.1.3 in Verbindung mit den durch die Bekanntmachung des Bundesministeriums des Innern, für Bau und Heimat im Bundesanzeiger vom 10. Januar 2000 (BAnz. Nr. 38a vom 24. Februar 2000) veröffentlichten Maßtafeln in der jeweils geltenden Fassung. Neu zugelassene Munition nach § 27 Abs. 1 steht der in den Maßtafeln aufgeführten gleich. In der Beschaffenheitsprüfung überzeugt sich die zuständige Behörde durch Sichtkontrollen davon, ob die Prüfgegenstände die im Zulassungsbescheid festgelegten Merkmale aufweisen.</w:t>
      </w:r>
    </w:p>
    <w:p>
      <w:r>
        <w:t xml:space="preserve">(4) Der Beschuss ist nach Maßgabe der Prüfvorschriften der Anlage I Nr. 1 und 2 vorzunehmen.</w:t>
      </w:r>
    </w:p>
    <w:p>
      <w:r>
        <w:t xml:space="preserve">(5) Bei der Nachprüfung sind die Prüfgegenstände erneut auf Funktionssicherheit, Maßhaltigkeit und Mängel in der Haltbarkeit zu prüfen sowie einer Sichtprüfung nach Absatz 3 Satz 2 zu unterziehen.</w:t>
      </w:r>
    </w:p>
    <w:p>
      <w:r>
        <w:rPr>
          <w:color w:val="555555"/>
          <w:sz w:val="17"/>
        </w:rPr>
        <w:t xml:space="preserve">Zitiervorschlag: § 1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