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BeschV 2013 — Beschäftigung bei Vorbeschäftigungszeiten oder längerem Voraufenthalt</w:t>
      </w:r>
    </w:p>
    <w:p>
      <w:r>
        <w:rPr>
          <w:color w:val="555555"/>
          <w:sz w:val="18"/>
        </w:rPr>
        <w:t xml:space="preserve">Beschäftigungsverordnung</w:t>
      </w:r>
    </w:p>
    <w:p>
      <w:r>
        <w:rPr>
          <w:color w:val="555555"/>
          <w:sz w:val="18"/>
        </w:rPr>
        <w:t xml:space="preserve">Stand: 18.11.2023 (konsolidierte Textfassung, kein amtliches Inkrafttretensdatum)</w:t>
      </w:r>
    </w:p>
    <w:p>
      <w:r>
        <w:t xml:space="preserve">(1) Keiner Zustimmung bedarf die Ausübung einer Beschäftigung bei Ausländerinnen und Ausländern, die eine Aufenthaltserlaubnis besitzen und</w:t>
      </w:r>
    </w:p>
    <w:p>
      <w:pPr>
        <w:ind w:left="420"/>
      </w:pPr>
      <w:r>
        <w:t xml:space="preserve">1. zwei Jahre rechtmäßig eine versicherungspflichtige Beschäftigung im Bundesgebiet ausgeübt haben oder</w:t>
      </w:r>
    </w:p>
    <w:p>
      <w:pPr>
        <w:ind w:left="420"/>
      </w:pPr>
      <w:r>
        <w:t xml:space="preserve">2. sich seit drei Jahren ununterbrochen erlaubt, geduldet oder mit einer Aufenthaltsgestattung im Bundesgebiet aufhalten; Unterbrechungszeiten werden entsprechend § 51 Absatz 1 Nummer 7 des Aufenthaltsgesetzes berücksichtigt.</w:t>
      </w:r>
    </w:p>
    <w:p>
      <w:r>
        <w:t xml:space="preserve">(2) Auf die Beschäftigungszeit nach Absatz 1 Nummer 1 werden nicht angerechnet Zeiten</w:t>
      </w:r>
    </w:p>
    <w:p>
      <w:pPr>
        <w:ind w:left="420"/>
      </w:pPr>
      <w:r>
        <w:t xml:space="preserve">1. von Beschäftigungen, die vor dem Zeitpunkt liegen, an dem die Ausländerin oder der Ausländer unter Aufgabe ihres oder seines gewöhnlichen Aufenthaltes ausgereist war,</w:t>
      </w:r>
    </w:p>
    <w:p>
      <w:pPr>
        <w:ind w:left="420"/>
      </w:pPr>
      <w:r>
        <w:t xml:space="preserve">2. einer nach dem Aufenthaltsgesetz oder dieser Verordnung zeitlich begrenzten Beschäftigung und</w:t>
      </w:r>
    </w:p>
    <w:p>
      <w:pPr>
        <w:ind w:left="420"/>
      </w:pPr>
      <w:r>
        <w:t xml:space="preserve">3. einer Beschäftigung, für die die Ausländerin oder der Ausländer auf Grund einer zwischenstaatlichen Vereinbarung von der Zustimmungspflicht für eine Beschäftigung befreit war.</w:t>
      </w:r>
    </w:p>
    <w:p>
      <w:r>
        <w:t xml:space="preserve">(3) Auf die Aufenthaltszeit nach Absatz 1 Nummer 2 werden Zeiten eines Aufenthaltes nach § 16b des Aufenthaltsgesetzes nur zur Hälfte und nur bis zu zwei Jahren angerechnet. Zeiten einer Beschäftigung, die nach dem Aufenthaltsgesetz oder dieser Verordnung zeitlich begrenzt ist, werden auf die Aufenthaltszeit angerechnet, wenn der Ausländerin oder dem Ausländer ein Aufenthaltstitel für einen anderen Zweck als den der Beschäftigung erteilt wird.</w:t>
      </w:r>
    </w:p>
    <w:p>
      <w:r>
        <w:rPr>
          <w:color w:val="555555"/>
          <w:sz w:val="17"/>
        </w:rPr>
        <w:t xml:space="preserve">Zitiervorschlag: § 9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