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BeschV 2013 — Betriebliche Aus- und Weiterbildung; Anerkennung ausländischer Berufsqualifikationen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Zustimmung kann für die Erteilung eines Aufenthaltstitels nach § 16a Absatz 1 des Aufenthaltsgesetzes erteilt werden.</w:t>
      </w:r>
    </w:p>
    <w:p>
      <w:r>
        <w:t xml:space="preserve">(2) Die Zustimmung kann für die Erteilung einer Aufenthaltserlaubnis nach § 16d Absatz 1 Satz 2 Nummer 3 und Absatz 2 des Aufenthaltsgesetzes erteilt werden.</w:t>
      </w:r>
    </w:p>
    <w:p>
      <w:r>
        <w:t xml:space="preserve">(3) Ist für eine qualifizierte Beschäftigung</w:t>
      </w:r>
    </w:p>
    <w:p>
      <w:pPr>
        <w:ind w:left="420"/>
      </w:pPr>
      <w:r>
        <w:t xml:space="preserve">1. die Feststellung der Gleichwertigkeit eines im Ausland erworbenen Berufsabschlusses im Sinne des § 18a des Aufenthaltsgesetzes oder</w:t>
      </w:r>
    </w:p>
    <w:p>
      <w:pPr>
        <w:ind w:left="420"/>
      </w:pPr>
      <w:r>
        <w:t xml:space="preserve">2. in einem im Inland reglementierten Beruf die Befugnis zur Berufsausübung notwendig</w:t>
      </w:r>
    </w:p>
    <w:p>
      <w:r>
        <w:t xml:space="preserve">und ist hierfür eine vorherige befristete praktische Tätigkeit im Inland erforderlich, kann der Erteilung des Aufenthaltstitels für die Ausübung dieser befristeten Beschäftigung zugestimmt werden.</w:t>
      </w:r>
    </w:p>
    <w:p>
      <w:r>
        <w:rPr>
          <w:color w:val="555555"/>
          <w:sz w:val="17"/>
        </w:rPr>
        <w:t xml:space="preserve">Zitiervorschlag: § 8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