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BeschV 2013 — Härtefallregelung</w:t>
      </w:r>
    </w:p>
    <w:p>
      <w:r>
        <w:rPr>
          <w:color w:val="555555"/>
          <w:sz w:val="18"/>
        </w:rPr>
        <w:t xml:space="preserve">Beschäftigungsverordnung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Ausländerinnen und Ausländern kann die Zustimmung zur Ausübung einer Beschäftigung ohne Vorrangprüfung erteilt werden, wenn deren Versagung eine besondere Härte bedeuten würde.</w:t>
      </w:r>
    </w:p>
    <w:p>
      <w:r>
        <w:rPr>
          <w:color w:val="555555"/>
          <w:sz w:val="17"/>
        </w:rPr>
        <w:t xml:space="preserve">Zitiervorschlag: § 37 BeschV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https://recht.nulegal.eu/gesetze/BeschV%202013/37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