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BeschV 2013 — Reichweite der Zustimmung</w:t>
      </w:r>
    </w:p>
    <w:p>
      <w:r>
        <w:rPr>
          <w:color w:val="555555"/>
          <w:sz w:val="18"/>
        </w:rPr>
        <w:t xml:space="preserve">Beschäftigungsverordnung</w:t>
      </w:r>
    </w:p>
    <w:p>
      <w:r>
        <w:rPr>
          <w:color w:val="555555"/>
          <w:sz w:val="18"/>
        </w:rPr>
        <w:t xml:space="preserve">Stand: 05.03.2020 (konsolidierte Textfassung, kein amtliches Inkrafttretensdatum)</w:t>
      </w:r>
    </w:p>
    <w:p>
      <w:r>
        <w:t xml:space="preserve">(1) Die Zustimmung zur Ausübung einer Beschäftigung wird jeweils zu einem bestimmten Aufenthaltstitel erteilt.</w:t>
      </w:r>
    </w:p>
    <w:p>
      <w:r>
        <w:t xml:space="preserve">(2) Ist die Zustimmung zu einem Aufenthaltstitel erteilt worden, so gilt die Zustimmung im Rahmen ihrer zeitlichen Begrenzung auch für jeden weiteren Aufenthaltstitel fort.</w:t>
      </w:r>
    </w:p>
    <w:p>
      <w:r>
        <w:t xml:space="preserve">(3) Die Absätze 1 und 2 gelten entsprechend für die Zustimmung zur Ausübung einer Beschäftigung an Personen, die eine Aufenthaltsgestattung oder Duldung besitzen.</w:t>
      </w:r>
    </w:p>
    <w:p>
      <w:r>
        <w:t xml:space="preserve">(4) Ist die Zustimmung für ein bestimmtes Beschäftigungsverhältnis erteilt worden, so erlischt sie mit der Beendigung dieses Beschäftigungsverhältnisses. Dies gilt nicht, wenn sich der Arbeitgeber auf Grund eines Betriebsübergangs nach § 613a des Bürgerlichen Gesetzbuchs ändert oder auf Grund eines Formwechsels eine andere Rechtsform erhält.</w:t>
      </w:r>
    </w:p>
    <w:p>
      <w:r>
        <w:t xml:space="preserve">(5) Die Zustimmung zur Ausübung einer Beschäftigung kann ohne Vorrangprüfung erteilt werden, wenn die Beschäftigung nach Ablauf der Geltungsdauer einer für mindestens ein Jahr erteilten Zustimmung bei demselben Arbeitgeber fortgesetzt wird. Dies gilt nicht für Beschäftigungen, die nach dieser Verordnung oder einer zwischenstaatlichen Vereinbarung zeitlich begrenzt sind.</w:t>
      </w:r>
    </w:p>
    <w:p>
      <w:r>
        <w:rPr>
          <w:color w:val="555555"/>
          <w:sz w:val="17"/>
        </w:rPr>
        <w:t xml:space="preserve">Zitiervorschlag: § 35 BeschV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https://recht.nulegal.eu/gesetze/BeschV%202013/35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