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BeschV 2013 — Leitende Angestellte, Führungskräfte und Spezialisten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 Zustimmung kann erteilt werden für</w:t>
      </w:r>
    </w:p>
    <w:p>
      <w:pPr>
        <w:ind w:left="420"/>
      </w:pPr>
      <w:r>
        <w:t xml:space="preserve">1. leitende Angestellte,</w:t>
      </w:r>
    </w:p>
    <w:p>
      <w:pPr>
        <w:ind w:left="420"/>
      </w:pPr>
      <w:r>
        <w:t xml:space="preserve">2. Mitglieder des Organs einer juristischen Person, die zur gesetzlichen Vertretung berechtigt sind, oder</w:t>
      </w:r>
    </w:p>
    <w:p>
      <w:pPr>
        <w:ind w:left="420"/>
      </w:pPr>
      <w:r>
        <w:t xml:space="preserve">3. Personen, die für die Ausübung einer inländischen qualifizierten Beschäftigung über besondere, vor allem unternehmensspezifische Spezialkenntnisse verfügen.</w:t>
      </w:r>
    </w:p>
    <w:p>
      <w:r>
        <w:rPr>
          <w:color w:val="555555"/>
          <w:sz w:val="17"/>
        </w:rPr>
        <w:t xml:space="preserve">Zitiervorschlag: § 3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