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28 BeschV 2013 — Deutsche Volkszugehörige</w:t>
      </w:r>
    </w:p>
    <w:p>
      <w:r>
        <w:rPr>
          <w:color w:val="555555"/>
          <w:sz w:val="18"/>
        </w:rPr>
        <w:t xml:space="preserve">Beschäftigungsverordnung</w:t>
      </w:r>
    </w:p>
    <w:p>
      <w:r>
        <w:rPr>
          <w:color w:val="555555"/>
          <w:sz w:val="18"/>
        </w:rPr>
        <w:t xml:space="preserve">Stand: 05.03.2020 (konsolidierte Textfassung, kein amtliches Inkrafttretensdatum)</w:t>
      </w:r>
    </w:p>
    <w:p>
      <w:r>
        <w:t xml:space="preserve">Deutschen Volkszugehörigen, die einen Aufnahmebescheid nach dem Bundesvertriebenengesetz besitzen, kann die Zustimmung mit Vorrangprüfung zu einem Aufenthaltstitel zur Ausübung einer vorübergehenden Beschäftigung erteilt werden.</w:t>
      </w:r>
    </w:p>
    <w:p>
      <w:r>
        <w:rPr>
          <w:color w:val="555555"/>
          <w:sz w:val="17"/>
        </w:rPr>
        <w:t xml:space="preserve">Zitiervorschlag: § 28 BeschV 2013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https://recht.nulegal.eu/gesetze/BeschV%202013/28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