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BeschV 2013 — Kultur und Unterhaltung</w:t>
      </w:r>
    </w:p>
    <w:p>
      <w:r>
        <w:rPr>
          <w:color w:val="555555"/>
          <w:sz w:val="18"/>
        </w:rPr>
        <w:t xml:space="preserve">Beschäftigungsverordnung</w:t>
      </w:r>
    </w:p>
    <w:p>
      <w:r>
        <w:rPr>
          <w:color w:val="555555"/>
          <w:sz w:val="18"/>
        </w:rPr>
        <w:t xml:space="preserve">Stand: 05.03.2020 (konsolidierte Textfassung, kein amtliches Inkrafttretensdatum)</w:t>
      </w:r>
    </w:p>
    <w:p>
      <w:r>
        <w:t xml:space="preserve">Die Zustimmung kann mit Vorrangprüfung für Personen erteilt werden, die</w:t>
      </w:r>
    </w:p>
    <w:p>
      <w:pPr>
        <w:ind w:left="420"/>
      </w:pPr>
      <w:r>
        <w:t xml:space="preserve">1. eine künstlerische oder artistische Beschäftigung oder eine Beschäftigung als Hilfspersonal, das für die Darbietung erforderlich ist, ausüben oder</w:t>
      </w:r>
    </w:p>
    <w:p>
      <w:pPr>
        <w:ind w:left="420"/>
      </w:pPr>
      <w:r>
        <w:t xml:space="preserve">2. zu einer länger als 90 Tage dauernden Beschäftigung im Rahmen von Gastspielen oder ausländischen Film- oder Fernsehproduktionen entsandt werden.</w:t>
      </w:r>
    </w:p>
    <w:p>
      <w:r>
        <w:rPr>
          <w:color w:val="555555"/>
          <w:sz w:val="17"/>
        </w:rPr>
        <w:t xml:space="preserve">Zitiervorschlag: § 25 BeschV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https://recht.nulegal.eu/gesetze/BeschV%202013/25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