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24a BeschV 2013 — Berufskraftfahrerinnen und Berufskraftfahrer</w:t>
      </w:r>
    </w:p>
    <w:p>
      <w:r>
        <w:rPr>
          <w:color w:val="555555"/>
          <w:sz w:val="18"/>
        </w:rPr>
        <w:t xml:space="preserve">Beschäftigungsverordnung</w:t>
      </w:r>
    </w:p>
    <w:p>
      <w:r>
        <w:rPr>
          <w:color w:val="555555"/>
          <w:sz w:val="18"/>
        </w:rPr>
        <w:t xml:space="preserve">Stand: 18.11.2023 (konsolidierte Textfassung, kein amtliches Inkrafttretensdatum)</w:t>
      </w:r>
    </w:p>
    <w:p>
      <w:r>
        <w:t xml:space="preserve">(1) Die Zustimmung kann Ausländerinnen und Ausländern für eine inländische Beschäftigung als Berufskraftfahrerin oder Berufskraftfahrer im Güterkraftverkehr oder im Personenverkehr mit Kraftomnibussen erteilt werden.</w:t>
      </w:r>
    </w:p>
    <w:p>
      <w:r>
        <w:t xml:space="preserve">(2) Die Zustimmung kann Ausländerinnen und Ausländern für eine inländische Beschäftigung bei einem Arbeitgeber erteilt werden, wenn</w:t>
      </w:r>
    </w:p>
    <w:p>
      <w:pPr>
        <w:ind w:left="420"/>
      </w:pPr>
      <w:r>
        <w:t xml:space="preserve">1. der Arbeitsvertrag die Ausländerin oder den Ausländer zur Teilnahme an Maßnahmen zur Erlangung der Voraussetzungen verpflichtet, die für die Berufsausübung als Berufskraftfahrerin oder Berufskraftfahrer im Güterkraftverkehr oder im Personenverkehr mit Kraftomnibussen erforderlich sind,</w:t>
      </w:r>
    </w:p>
    <w:p>
      <w:pPr>
        <w:ind w:left="420"/>
      </w:pPr>
      <w:r>
        <w:t xml:space="preserve">2. die Arbeitsbedingungen für die Zeit der Maßnahmen so ausgestaltet sind, dass die nach Nummer 1 erforderliche Fahrerlaubnis und die Qualifikationen einschließlich der Ausstellung der erforderlichen Dokumente innerhalb von 15 Monaten erlangt werden können,</w:t>
      </w:r>
    </w:p>
    <w:p>
      <w:pPr>
        <w:ind w:left="420"/>
      </w:pPr>
      <w:r>
        <w:t xml:space="preserve">3. für die Zeit nach Erlangung der Fahrerlaubnis und der Qualifikationen ein konkretes Arbeitsplatzangebot für eine inländische Beschäftigung als Berufskraftfahrerin oder Berufskraftfahrer im Güterkraftverkehr oder Personenverkehr mit Kraftomnibussen bei demselben Arbeitgeber vorliegt und</w:t>
      </w:r>
    </w:p>
    <w:p>
      <w:pPr>
        <w:ind w:left="420"/>
      </w:pPr>
      <w:r>
        <w:t xml:space="preserve">4. der Nachweis erbracht wird, dass sie die in ihrem Herkunftsland für die Beschäftigung als Berufskraftfahrerin oder Berufskraftfahrer einschlägige Fahrerlaubnis besitzen.</w:t>
      </w:r>
    </w:p>
    <w:p>
      <w:r>
        <w:t xml:space="preserve">Die Zustimmung wird für bis zu 15 Monate erteilt. Im begründeten Einzelfall kann die Zustimmung für bis zu weitere sechs Monate erteilt werden.</w:t>
      </w:r>
    </w:p>
    <w:p>
      <w:r>
        <w:t xml:space="preserve">(3) Für Personen, die eine Aufenthaltserlaubnis zum Zwecke einer Beschäftigung nach Absatz 1 oder 2 besitzen, findet § 9 keine Anwendung.</w:t>
      </w:r>
    </w:p>
    <w:p>
      <w:r>
        <w:rPr>
          <w:color w:val="555555"/>
          <w:sz w:val="17"/>
        </w:rPr>
        <w:t xml:space="preserve">Zitiervorschlag: § 24a BeschV 2013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https://recht.nulegal.eu/gesetze/BeschV%202013/24a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