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BeschV 2013 — Schifffahrt- und Luftverkehr</w:t>
      </w:r>
    </w:p>
    <w:p>
      <w:r>
        <w:rPr>
          <w:color w:val="555555"/>
          <w:sz w:val="18"/>
        </w:rPr>
        <w:t xml:space="preserve">Beschäftigungsverordnung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Keiner Zustimmung bedarf die Erteilung eines Aufenthaltstitels an</w:t>
      </w:r>
    </w:p>
    <w:p>
      <w:pPr>
        <w:ind w:left="420"/>
      </w:pPr>
      <w:r>
        <w:t xml:space="preserve">1. die Mitglieder der Besatzungen von Seeschiffen im internationalen Verkehr,</w:t>
      </w:r>
    </w:p>
    <w:p>
      <w:pPr>
        <w:ind w:left="420"/>
      </w:pPr>
      <w:r>
        <w:t xml:space="preserve">2. die nach dem Seelotsgesetz für den Seelotsendienst zugelassenen Personen,</w:t>
      </w:r>
    </w:p>
    <w:p>
      <w:pPr>
        <w:ind w:left="420"/>
      </w:pPr>
      <w:r>
        <w:t xml:space="preserve">3. das technische Personal auf Binnenschiffen und im grenzüberschreitenden Verkehr das für die Gästebetreuung erforderliche Bedienungs- und Servicepersonal auf Personenfahrgastschiffen oder</w:t>
      </w:r>
    </w:p>
    <w:p>
      <w:pPr>
        <w:ind w:left="420"/>
      </w:pPr>
      <w:r>
        <w:t xml:space="preserve">4. die Besatzungen von Luftfahrzeugen mit Ausnahme der Luftfahrzeugführerinnen und Luftfahrzeugführer, Flugingenieurinnen und Flugingenieure sowie Flugnavigatorinnen und Flugnavigatoren bei Unternehmen mit Sitz im Inland.</w:t>
      </w:r>
    </w:p>
    <w:p>
      <w:r>
        <w:rPr>
          <w:color w:val="555555"/>
          <w:sz w:val="17"/>
        </w:rPr>
        <w:t xml:space="preserve">Zitiervorschlag: § 24 BeschV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https://recht.nulegal.eu/gesetze/BeschV%202013/24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