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BeschV 2013 — Internationale Sportveranstaltungen</w:t>
      </w:r>
    </w:p>
    <w:p>
      <w:r>
        <w:rPr>
          <w:color w:val="555555"/>
          <w:sz w:val="18"/>
        </w:rPr>
        <w:t xml:space="preserve">Beschäftigungsverordnung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Keiner Zustimmung bedarf die Erteilung eines Aufenthaltstitels an Personen, die zur Vorbereitung, Teilnahme, Durchführung und Nachbereitung internationaler Sportveranstaltungen durch das jeweilige Organisationskomitee akkreditiert werden, soweit die Bundesregierung Durchführungsgarantien übernommen hat; dies sind insbesondere folgende Personen:</w:t>
      </w:r>
    </w:p>
    <w:p>
      <w:pPr>
        <w:ind w:left="420"/>
      </w:pPr>
      <w:r>
        <w:t xml:space="preserve">1. die Repräsentantinnen und Repräsentanten, Mitarbeiterinnen und Mitarbeiter und Beauftragten von Verbänden oder Organisationen einschließlich Schiedsrichterinnen und Schiedsrichter sowie Schiedsrichterassistentinnen und Schiedsrichterassistenten,</w:t>
      </w:r>
    </w:p>
    <w:p>
      <w:pPr>
        <w:ind w:left="420"/>
      </w:pPr>
      <w:r>
        <w:t xml:space="preserve">2. die Sportlerinnen und Sportler sowie bezahltes Personal der teilnehmenden Mannschaften,</w:t>
      </w:r>
    </w:p>
    <w:p>
      <w:pPr>
        <w:ind w:left="420"/>
      </w:pPr>
      <w:r>
        <w:t xml:space="preserve">3. die Vertreterinnen und Vertreter der offiziellen Verbandspartner und der offiziellen Lizenzpartner,</w:t>
      </w:r>
    </w:p>
    <w:p>
      <w:pPr>
        <w:ind w:left="420"/>
      </w:pPr>
      <w:r>
        <w:t xml:space="preserve">4. die Vertreterinnen und Vertreter der Medien einschließlich des technischen Personals sowie die Mitarbeiterinnen und Mitarbeiter der Medienpartner.</w:t>
      </w:r>
    </w:p>
    <w:p>
      <w:r>
        <w:rPr>
          <w:color w:val="555555"/>
          <w:sz w:val="17"/>
        </w:rPr>
        <w:t xml:space="preserve">Zitiervorschlag: § 23 BeschV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https://recht.nulegal.eu/gesetze/BeschV%202013/23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