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BeschV 2013 — Besondere Berufsgruppen</w:t>
      </w:r>
    </w:p>
    <w:p>
      <w:r>
        <w:rPr>
          <w:color w:val="555555"/>
          <w:sz w:val="18"/>
        </w:rPr>
        <w:t xml:space="preserve">Beschäftigungsverordnung</w:t>
      </w:r>
    </w:p>
    <w:p>
      <w:r>
        <w:rPr>
          <w:color w:val="555555"/>
          <w:sz w:val="18"/>
        </w:rPr>
        <w:t xml:space="preserve">Stand: 05.04.2020 (konsolidierte Textfassung, kein amtliches Inkrafttretensdatum)</w:t>
      </w:r>
    </w:p>
    <w:p>
      <w:r>
        <w:t xml:space="preserve">Keiner Zustimmung bedarf die Erteilung eines Aufenthaltstitels an</w:t>
      </w:r>
    </w:p>
    <w:p>
      <w:pPr>
        <w:ind w:left="420"/>
      </w:pPr>
      <w:r>
        <w:t xml:space="preserve">1. Personen einschließlich ihres Hilfspersonals, die unter Beibehaltung ihres gewöhnlichen Wohnsitzes im Ausland in Vorträgen oder in Darbietungen von besonderem wissenschaftlichen oder künstlerischen Wert oder bei Darbietungen sportlichen Charakters im Inland tätig werden, wenn die Dauer der Tätigkeit 90 Tage innerhalb eines Zeitraums von zwölf Monaten nicht übersteigt,</w:t>
      </w:r>
    </w:p>
    <w:p>
      <w:pPr>
        <w:ind w:left="420"/>
      </w:pPr>
      <w:r>
        <w:t xml:space="preserve">2. Personen, die im Rahmen von Festspielen oder Musik- und Kulturtagen beschäftigt oder im Rahmen von Gastspielen oder ausländischen Film- und Fernsehproduktionen entsandt werden, wenn die Dauer der Tätigkeit 90 Tage innerhalb eines Zeitraums von zwölf Monaten nicht übersteigt,</w:t>
      </w:r>
    </w:p>
    <w:p>
      <w:pPr>
        <w:ind w:left="420"/>
      </w:pPr>
      <w:r>
        <w:t xml:space="preserve">3. Personen, die in Tagesdarbietungen bis zu 15 Tage im Jahr auftreten,</w:t>
      </w:r>
    </w:p>
    <w:p>
      <w:pPr>
        <w:ind w:left="420"/>
      </w:pPr>
      <w:r>
        <w:t xml:space="preserve">4. Berufssportlerinnen und Berufssportler oder Berufstrainerinnen und Berufstrainer, deren Einsatz in deutschen Sportvereinen oder vergleichbaren am Wettkampfsport teilnehmenden sportlichen Einrichtungen vorgesehen ist, wenn sie</w:t>
      </w:r>
    </w:p>
    <w:p>
      <w:pPr>
        <w:ind w:left="780"/>
      </w:pPr>
      <w:r>
        <w:t xml:space="preserve">a) das 16. Lebensjahr vollendet haben,</w:t>
      </w:r>
    </w:p>
    <w:p>
      <w:pPr>
        <w:ind w:left="780"/>
      </w:pPr>
      <w:r>
        <w:t xml:space="preserve">b) der Verein oder die Einrichtung ein Bruttogehalt zahlt, das mindestens 50 Prozent der Beitragsbemessungsgrenze für die gesetzliche Rentenversicherung beträgt, und</w:t>
      </w:r>
    </w:p>
    <w:p>
      <w:pPr>
        <w:ind w:left="780"/>
      </w:pPr>
      <w:r>
        <w:t xml:space="preserve">c) der für die Sportart zuständige deutsche Spitzenverband im Einvernehmen mit dem Deutschen Olympischen Sportbund die sportliche Qualifikation als Berufssportlerin oder Berufssportler oder die fachliche Eignung als Trainerin oder Trainer bestätigt,</w:t>
      </w:r>
    </w:p>
    <w:p>
      <w:pPr>
        <w:ind w:left="420"/>
      </w:pPr>
      <w:r>
        <w:t xml:space="preserve">5. Personen, die eSport in Form eines Wettkampfes zwischen Personen berufsmäßig ausüben und deren Einsatz in deutschen Vereinen oder vergleichbaren an Wettkämpfen teilnehmenden Einrichtungen des eSports vorgesehen ist, wenn sie</w:t>
      </w:r>
    </w:p>
    <w:p>
      <w:pPr>
        <w:ind w:left="780"/>
      </w:pPr>
      <w:r>
        <w:t xml:space="preserve">a) das 16. Lebensjahr vollendet haben,</w:t>
      </w:r>
    </w:p>
    <w:p>
      <w:pPr>
        <w:ind w:left="780"/>
      </w:pPr>
      <w:r>
        <w:t xml:space="preserve">b) der Verein oder die Einrichtung ein Bruttogehalt zahlt, das mindestens 50 Prozent der Beitragsbemessungsgrenze für die gesetzliche Rentenversicherung beträgt, und</w:t>
      </w:r>
    </w:p>
    <w:p>
      <w:pPr>
        <w:ind w:left="780"/>
      </w:pPr>
      <w:r>
        <w:t xml:space="preserve">c) der für den eSport zuständige deutsche Spitzenverband die berufsmäßige Ausübung von eSport bestätigt und die ausgeübte Form des eSports von erheblicher nationaler oder internationaler Bedeutung ist,</w:t>
      </w:r>
    </w:p>
    <w:p>
      <w:pPr>
        <w:ind w:left="420"/>
      </w:pPr>
      <w:r>
        <w:t xml:space="preserve">6. Fotomodelle, Werbetypen, Mannequins oder Dressmen,</w:t>
      </w:r>
    </w:p>
    <w:p>
      <w:pPr>
        <w:ind w:left="420"/>
      </w:pPr>
      <w:r>
        <w:t xml:space="preserve">7. Reiseleiterinnen und Reiseleiter, die unter Beibehaltung ihres gewöhnlichen Aufenthaltes im Ausland ausländische Touristengruppen in das Inland begleiten, wenn die Dauer der Tätigkeit 90 Tage innerhalb von zwölf Monaten nicht übersteigt,</w:t>
      </w:r>
    </w:p>
    <w:p>
      <w:pPr>
        <w:ind w:left="420"/>
      </w:pPr>
      <w:r>
        <w:t xml:space="preserve">8. Dolmetscherinnen und Dolmetscher, die unter Beibehaltung ihres gewöhnlichen Aufenthaltes im Ausland für ein Unternehmen mit Sitz im Ausland an Besprechungen oder Verhandlungen im Inland teilnehmen, wenn die Dauer der Tätigkeit 90 Tage innerhalb eines Zeitraums von zwölf Monaten nicht übersteigt, oder</w:t>
      </w:r>
    </w:p>
    <w:p>
      <w:pPr>
        <w:ind w:left="420"/>
      </w:pPr>
      <w:r>
        <w:t xml:space="preserve">9. Hausangestellte, die unter Beibehaltung ihres gewöhnlichen Aufenthaltes im Ausland ihren Arbeitgeber oder dessen Familienangehörige mit gewöhnlichem Aufenthalt im Ausland für eine Dauer von bis zu 90 Tagen innerhalb eines Zeitraums von zwölf Monaten in das Inland begleiten.</w:t>
      </w:r>
    </w:p>
    <w:p>
      <w:r>
        <w:rPr>
          <w:color w:val="555555"/>
          <w:sz w:val="17"/>
        </w:rPr>
        <w:t xml:space="preserve">Zitiervorschlag: § 22 BeschV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https://recht.nulegal.eu/gesetze/BeschV%202013/22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