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BeschV 2013 — Journalistinnen und Journalisten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Keiner Zustimmung bedarf die Erteilung eines Aufenthaltstitels an Beschäftigte eines Arbeitgebers mit Sitz im Ausland,</w:t>
      </w:r>
    </w:p>
    <w:p>
      <w:pPr>
        <w:ind w:left="420"/>
      </w:pPr>
      <w:r>
        <w:t xml:space="preserve">1. deren Tätigkeit vom Presse- und Informationsamt der Bundesregierung anerkannt ist oder</w:t>
      </w:r>
    </w:p>
    <w:p>
      <w:pPr>
        <w:ind w:left="420"/>
      </w:pPr>
      <w:r>
        <w:t xml:space="preserve">2. die unter Beibehaltung ihres gewöhnlichen Aufenthaltes im Ausland im Inland journalistisch tätig werden, wenn die Dauer der Tätigkeit 90 Tage innerhalb eines Zeitraums von zwölf Monaten nicht übersteigt.</w:t>
      </w:r>
    </w:p>
    <w:p>
      <w:r>
        <w:rPr>
          <w:color w:val="555555"/>
          <w:sz w:val="17"/>
        </w:rPr>
        <w:t xml:space="preserve">Zitiervorschlag: § 18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BeschV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