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BeschV 2013 — Geschäftsreisende</w:t>
      </w:r>
    </w:p>
    <w:p>
      <w:r>
        <w:rPr>
          <w:color w:val="555555"/>
          <w:sz w:val="18"/>
        </w:rPr>
        <w:t xml:space="preserve">Beschäftigungsverordnung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Keiner Zustimmung bedarf die Erteilung eines Aufenthaltstitels an Personen, die</w:t>
      </w:r>
    </w:p>
    <w:p>
      <w:pPr>
        <w:ind w:left="420"/>
      </w:pPr>
      <w:r>
        <w:t xml:space="preserve">1. bei einem Arbeitgeber mit Sitz im Inland im kaufmännischen Bereich im Ausland beschäftigt werden,</w:t>
      </w:r>
    </w:p>
    <w:p>
      <w:pPr>
        <w:ind w:left="420"/>
      </w:pPr>
      <w:r>
        <w:t xml:space="preserve">2. für einen Arbeitgeber mit Sitz im Ausland Besprechungen oder Verhandlungen im Inland führen, Vertragsangebote erstellen, Verträge schließen oder die Durchführung eines Vertrages überwachen oder</w:t>
      </w:r>
    </w:p>
    <w:p>
      <w:pPr>
        <w:ind w:left="420"/>
      </w:pPr>
      <w:r>
        <w:t xml:space="preserve">3. für einen Arbeitgeber mit Sitz im Ausland einen inländischen Unternehmensteil gründen, überwachen oder steuern,</w:t>
      </w:r>
    </w:p>
    <w:p>
      <w:r>
        <w:t xml:space="preserve">und die sich im Rahmen ihrer Beschäftigung unter Beibehaltung ihres gewöhnlichen Aufenthaltes im Ausland insgesamt nicht länger als 90 Tage innerhalb eines Zeitraums von 180 Tagen im Inland aufhalten.</w:t>
      </w:r>
    </w:p>
    <w:p>
      <w:r>
        <w:rPr>
          <w:color w:val="555555"/>
          <w:sz w:val="17"/>
        </w:rPr>
        <w:t xml:space="preserve">Zitiervorschlag: § 16 BeschV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https://recht.nulegal.eu/gesetze/BeschV%202013/16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