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10a BeschV 2013 — Unternehmensintern transferierte Arbeitnehmer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Die Zustimmung zur Erteilung einer ICT-Karte nach § 19 des Aufenthaltsgesetzes und zur Erteilung einer Mobiler-ICT-Karte nach § 19b des Aufenthaltsgesetzes kann erteilt werden, wenn</w:t>
      </w:r>
    </w:p>
    <w:p>
      <w:pPr>
        <w:ind w:left="420"/>
      </w:pPr>
      <w:r>
        <w:t xml:space="preserve">1. die Beschäftigung in der aufnehmenden Niederlassung als Führungskraft, als Spezialistin oder Spezialist oder als Trainee erfolgt,</w:t>
      </w:r>
    </w:p>
    <w:p>
      <w:pPr>
        <w:ind w:left="420"/>
      </w:pPr>
      <w:r>
        <w:t xml:space="preserve">2. das Arbeitsentgelt nicht ungünstiger ist als das vergleichbarer deutscher Arbeitnehmerinnen und Arbeitnehmer und</w:t>
      </w:r>
    </w:p>
    <w:p>
      <w:pPr>
        <w:ind w:left="420"/>
      </w:pPr>
      <w:r>
        <w:t xml:space="preserve">3. die Beschäftigung nicht zu ungünstigeren Arbeitsbedingungen erfolgt als die vergleichbarer entsandter Arbeitnehmerinnen und Arbeitnehmer.</w:t>
      </w:r>
    </w:p>
    <w:p>
      <w:r>
        <w:rPr>
          <w:color w:val="555555"/>
          <w:sz w:val="17"/>
        </w:rPr>
        <w:t xml:space="preserve">Zitiervorschlag: § 10a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https://recht.nulegal.eu/gesetze/BeschV%202013/10a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