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17 BeschNeuRG — Rückkehr zum einheitlichen Verordnungsrang</w:t>
      </w:r>
    </w:p>
    <w:p>
      <w:r>
        <w:rPr>
          <w:color w:val="555555"/>
          <w:sz w:val="18"/>
        </w:rPr>
        <w:t xml:space="preserve">Gesetz zur Neuregelung der geringfügigen Beschäftigungsverhältnisse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auf den Artikeln 11, 13 bis 16 beruhenden Teile der dort geänderten Rechtsverordnungen können auf Grund der jeweils einschlägigen Ermächtigungen durch Rechtsverordnung geändert werden.</w:t>
      </w:r>
    </w:p>
    <w:p>
      <w:r>
        <w:rPr>
          <w:color w:val="555555"/>
          <w:sz w:val="17"/>
        </w:rPr>
        <w:t xml:space="preserve">Zitiervorschlag: Art 17 BeschNeuRG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https://recht.nulegal.eu/gesetze/BeschNeuRG/17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