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BeschGebV (Bayern) — Anwendbarkeit des Kostengesetzes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12, 13 und 16 bis 19 des Kostengesetzes (KG) gelten entsprechend.</w:t>
      </w:r>
    </w:p>
    <w:p>
      <w:r>
        <w:t xml:space="preserve">(2) Art. 10, 11, 14 und 15 KG finden keine Anwendung.</w:t>
      </w:r>
    </w:p>
    <w:p>
      <w:r>
        <w:rPr>
          <w:color w:val="555555"/>
          <w:sz w:val="17"/>
        </w:rPr>
        <w:t xml:space="preserve">Zitiervorschlag: § 9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