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BeschGebV (Bayern) — Vorschuss</w:t>
      </w:r>
    </w:p>
    <w:p>
      <w:r>
        <w:rPr>
          <w:color w:val="555555"/>
          <w:sz w:val="18"/>
        </w:rPr>
        <w:t xml:space="preserve">Beschussgebührenverordnung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Leistungen, die auf Antrag vorgenommen werden, können von der Zahlung eines angemessenen Vorschusses abhängig gemacht werden.</w:t>
      </w:r>
    </w:p>
    <w:p>
      <w:r>
        <w:rPr>
          <w:color w:val="555555"/>
          <w:sz w:val="17"/>
        </w:rPr>
        <w:t xml:space="preserve">Zitiervorschlag: § 8 BeschGebV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https://recht.nulegal.eu/gesetze/BeschGebV/8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