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BeschGebV (Bayern) — Gebührenschuldner</w:t>
      </w:r>
    </w:p>
    <w:p>
      <w:r>
        <w:rPr>
          <w:color w:val="555555"/>
          <w:sz w:val="18"/>
        </w:rPr>
        <w:t xml:space="preserve">Beschussgebührenverordnung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Schuldner der Benutzungsgebühren ist, wer die Beschussämter in Anspruch nimmt, im Übrigen, in wessen Interesse die Inanspruchnahme erfolgt.</w:t>
      </w:r>
    </w:p>
    <w:p>
      <w:r>
        <w:t xml:space="preserve">(2) Schuldner ist ferner, wer sich schriftlich gegenüber den Beschussämtern zu der Übernahme der Gebühren und Auslagen bereit erklärt hat.</w:t>
      </w:r>
    </w:p>
    <w:p>
      <w:r>
        <w:t xml:space="preserve">(3) Mehrere Schuldner haften als Gesamtschuldner.</w:t>
      </w:r>
    </w:p>
    <w:p>
      <w:r>
        <w:rPr>
          <w:color w:val="555555"/>
          <w:sz w:val="17"/>
        </w:rPr>
        <w:t xml:space="preserve">Zitiervorschlag: § 6 BeschGebV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https://recht.nulegal.eu/gesetze/BeschGebV/6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